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w:t>
      </w:r>
      <w:r>
        <w:t xml:space="preserve"> </w:t>
      </w:r>
      <w:r>
        <w:t xml:space="preserve">Mexico</w:t>
      </w:r>
      <w:r>
        <w:t xml:space="preserve"> </w:t>
      </w:r>
      <w:r>
        <w:t xml:space="preserve">City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Biocompatibility and Signal Integrity in Next-Generation Neural Interfaces</w:t>
      </w:r>
    </w:p>
    <w:p>
      <w:pPr>
        <w:pStyle w:val="BodyText"/>
      </w:pPr>
      <w:r>
        <w:rPr>
          <w:bCs/>
          <w:b/>
        </w:rPr>
        <w:t xml:space="preserve">Location:</w:t>
      </w:r>
      <w:r>
        <w:t xml:space="preserve"> </w:t>
      </w:r>
      <w:r>
        <w:t xml:space="preserve">Mexico City, Mexico</w:t>
      </w:r>
    </w:p>
    <w:p>
      <w:pPr>
        <w:pStyle w:val="BodyText"/>
      </w:pPr>
      <w:r>
        <w:rPr>
          <w:bCs/>
          <w:b/>
        </w:rPr>
        <w:t xml:space="preserve">Principal Investigator:</w:t>
      </w:r>
      <w:r>
        <w:t xml:space="preserve"> </w:t>
      </w:r>
      <w:r>
        <w:t xml:space="preserve">Lead Biomedical Engineer</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the development and testing of a novel neural interface device. As a Biomedical Engineer operating within the regulatory and academic framework of Mexico City, this research aims to bridge the gap between advanced materials science and clinical neurology. The study focuses on reducing tissue rejection and improving signal-to-noise ratios in chronic implants.</w:t>
      </w:r>
    </w:p>
    <w:p>
      <w:pPr>
        <w:pStyle w:val="BodyText"/>
      </w:pPr>
      <w:r>
        <w:t xml:space="preserve">The research is conducted in compliance with the General Health Law of Mexico (Ley General de Salud) and the guidelines established by the Federal Commission for the Protection against Sanitary Risk (COFEPRIS). The unique demographic and environmental factors of Mexico City, including altitude and local genetic diversity, are considered in the experimental design to ensure the robustness of the biomedical solutions developed.</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assess the biocompatibility and electrical stability of a new polymer-based electrode array over a 90-day period in a controlled animal model.</w:t>
      </w:r>
    </w:p>
    <w:bookmarkEnd w:id="22"/>
    <w:bookmarkStart w:id="23" w:name="secondary-objectives"/>
    <w:p>
      <w:pPr>
        <w:pStyle w:val="Heading3"/>
      </w:pPr>
      <w:r>
        <w:t xml:space="preserve">2.2 Secondary Objectives</w:t>
      </w:r>
    </w:p>
    <w:p>
      <w:pPr>
        <w:numPr>
          <w:ilvl w:val="0"/>
          <w:numId w:val="1001"/>
        </w:numPr>
        <w:pStyle w:val="Compact"/>
      </w:pPr>
      <w:r>
        <w:t xml:space="preserve">To evaluate the inflammatory response of the host tissue surrounding the implant.</w:t>
      </w:r>
    </w:p>
    <w:p>
      <w:pPr>
        <w:numPr>
          <w:ilvl w:val="0"/>
          <w:numId w:val="1001"/>
        </w:numPr>
        <w:pStyle w:val="Compact"/>
      </w:pPr>
      <w:r>
        <w:t xml:space="preserve">To analyze the impact of Mexico City's environmental conditions on the sterilization and storage of biomedical devices prior to implantation.</w:t>
      </w:r>
    </w:p>
    <w:p>
      <w:pPr>
        <w:numPr>
          <w:ilvl w:val="0"/>
          <w:numId w:val="1001"/>
        </w:numPr>
        <w:pStyle w:val="Compact"/>
      </w:pPr>
      <w:r>
        <w:t xml:space="preserve">To establish a standardized protocol for Biomedical Engineers in the region for pre-clinical testing of neural devices.</w:t>
      </w:r>
    </w:p>
    <w:bookmarkEnd w:id="23"/>
    <w:bookmarkEnd w:id="24"/>
    <w:bookmarkStart w:id="29"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is a longitudinal, controlled study. The Biomedical Engineer will oversee the fabrication of the devices, ensuring adherence to ISO 13485 standards for quality management in medical devices. The study will be conducted at a certified research facility in Mexico City.</w:t>
      </w:r>
    </w:p>
    <w:bookmarkEnd w:id="25"/>
    <w:bookmarkStart w:id="26" w:name="subjects"/>
    <w:p>
      <w:pPr>
        <w:pStyle w:val="Heading3"/>
      </w:pPr>
      <w:r>
        <w:t xml:space="preserve">3.2 Subjects</w:t>
      </w:r>
    </w:p>
    <w:p>
      <w:pPr>
        <w:pStyle w:val="FirstParagraph"/>
      </w:pPr>
      <w:r>
        <w:t xml:space="preserve">The study will utilize a rodent model (n=20), selected based on ethical guidelines approved by the Institutional Animal Care and Use Committee (IACUC) of the host university in Mexico City. Subjects will be randomly assigned to two groups: the experimental group (new interface) and the control group (standard gold-plated electrodes).</w:t>
      </w:r>
    </w:p>
    <w:bookmarkEnd w:id="26"/>
    <w:bookmarkStart w:id="27" w:name="device-fabrication-and-sterilization"/>
    <w:p>
      <w:pPr>
        <w:pStyle w:val="Heading3"/>
      </w:pPr>
      <w:r>
        <w:t xml:space="preserve">3.3 Device Fabrication and Sterilization</w:t>
      </w:r>
    </w:p>
    <w:p>
      <w:pPr>
        <w:pStyle w:val="FirstParagraph"/>
      </w:pPr>
      <w:r>
        <w:t xml:space="preserve">Devices will be fabricated using cleanroom protocols. Sterilization will be performed using ethylene oxide, a method compliant with Mexican sanitary regulations. The Biomedical Engineer will verify sterility through biological indicators before any surgical procedure.</w:t>
      </w:r>
    </w:p>
    <w:bookmarkEnd w:id="27"/>
    <w:bookmarkStart w:id="28" w:name="surgical-procedure"/>
    <w:p>
      <w:pPr>
        <w:pStyle w:val="Heading3"/>
      </w:pPr>
      <w:r>
        <w:t xml:space="preserve">3.4 Surgical Procedure</w:t>
      </w:r>
    </w:p>
    <w:p>
      <w:pPr>
        <w:pStyle w:val="FirstParagraph"/>
      </w:pPr>
      <w:r>
        <w:t xml:space="preserve">Implantation will be performed under general anesthesia by a trained veterinary surgeon, supervised by the Biomedical Engineer. The procedure involves a craniotomy to expose the motor cortex, followed by the insertion of the electrode array. Post-operative care will include analgesics and monitoring for signs of infection.</w:t>
      </w:r>
    </w:p>
    <w:bookmarkEnd w:id="28"/>
    <w:bookmarkEnd w:id="29"/>
    <w:bookmarkStart w:id="33" w:name="data-collection-and-analysis"/>
    <w:p>
      <w:pPr>
        <w:pStyle w:val="Heading2"/>
      </w:pPr>
      <w:r>
        <w:t xml:space="preserve">4. Data Collection and Analysis</w:t>
      </w:r>
    </w:p>
    <w:bookmarkStart w:id="30" w:name="electrical-measurements"/>
    <w:p>
      <w:pPr>
        <w:pStyle w:val="Heading3"/>
      </w:pPr>
      <w:r>
        <w:t xml:space="preserve">4.1 Electrical Measurements</w:t>
      </w:r>
    </w:p>
    <w:p>
      <w:pPr>
        <w:pStyle w:val="FirstParagraph"/>
      </w:pPr>
      <w:r>
        <w:t xml:space="preserve">Impedance spectroscopy will be performed weekly to monitor the integrity of the electrode-tissue interface. Data will be recorded using a multichannel amplifier system calibrated according to international standards.</w:t>
      </w:r>
    </w:p>
    <w:bookmarkEnd w:id="30"/>
    <w:bookmarkStart w:id="31" w:name="histological-analysis"/>
    <w:p>
      <w:pPr>
        <w:pStyle w:val="Heading3"/>
      </w:pPr>
      <w:r>
        <w:t xml:space="preserve">4.2 Histological Analysis</w:t>
      </w:r>
    </w:p>
    <w:p>
      <w:pPr>
        <w:pStyle w:val="FirstParagraph"/>
      </w:pPr>
      <w:r>
        <w:t xml:space="preserve">At the end of the 90-day period, subjects will be euthanized humanely. Brain tissue will be harvested and processed for histological examination. The Biomedical Engineer will collaborate with pathologists to quantify glial scarring and inflammatory markers.</w:t>
      </w:r>
    </w:p>
    <w:bookmarkEnd w:id="31"/>
    <w:bookmarkStart w:id="32" w:name="statistical-analysis"/>
    <w:p>
      <w:pPr>
        <w:pStyle w:val="Heading3"/>
      </w:pPr>
      <w:r>
        <w:t xml:space="preserve">4.3 Statistical Analysis</w:t>
      </w:r>
    </w:p>
    <w:p>
      <w:pPr>
        <w:pStyle w:val="FirstParagraph"/>
      </w:pPr>
      <w:r>
        <w:t xml:space="preserve">Data will be analyzed using appropriate statistical tests (e.g., ANOVA, t-tests) to determine significant differences between the experimental and control groups. A p-value of less than 0.05 will be considered statistically significant.</w:t>
      </w:r>
    </w:p>
    <w:bookmarkEnd w:id="32"/>
    <w:bookmarkEnd w:id="33"/>
    <w:bookmarkStart w:id="34" w:name="X8b92fa1db1a495699394a3c0d92a27ef1a231a6"/>
    <w:p>
      <w:pPr>
        <w:pStyle w:val="Heading2"/>
      </w:pPr>
      <w:r>
        <w:t xml:space="preserve">5. Ethical Considerations and Regulatory Compliance</w:t>
      </w:r>
    </w:p>
    <w:p>
      <w:pPr>
        <w:pStyle w:val="FirstParagraph"/>
      </w:pPr>
      <w:r>
        <w:t xml:space="preserve">This Experiment Protocol strictly adheres to the ethical principles outlined in the Declaration of Helsinki and the Mexican Official Standard NOM-062-ZOO-1999 for the care and use of laboratory animals. All procedures have been reviewed and approved by the ethics committee of the institution in Mexico City.</w:t>
      </w:r>
    </w:p>
    <w:p>
      <w:pPr>
        <w:pStyle w:val="BodyText"/>
      </w:pPr>
      <w:r>
        <w:t xml:space="preserve">The Biomedical Engineer is responsible for ensuring that all data is handled confidentially and that the rights and welfare of the animal subjects are prioritized. Any adverse events will be reported immediately to the regulatory authorities.</w:t>
      </w:r>
    </w:p>
    <w:bookmarkEnd w:id="34"/>
    <w:bookmarkStart w:id="35" w:name="risk-management"/>
    <w:p>
      <w:pPr>
        <w:pStyle w:val="Heading2"/>
      </w:pPr>
      <w:r>
        <w:t xml:space="preserve">6. Risk Management</w:t>
      </w:r>
    </w:p>
    <w:p>
      <w:pPr>
        <w:pStyle w:val="FirstParagraph"/>
      </w:pPr>
      <w:r>
        <w:t xml:space="preserve">Potential risks include surgical complications, device failure, and unexpected biological responses. Mitigation strategies include rigorous pre-surgical planning, redundant device testing, and continuous monitoring of the subjects. The Biomedical Engineer will maintain a risk log to document and address any issues that arise during the study.</w:t>
      </w:r>
    </w:p>
    <w:bookmarkEnd w:id="35"/>
    <w:bookmarkStart w:id="36" w:name="timeline"/>
    <w:p>
      <w:pPr>
        <w:pStyle w:val="Heading2"/>
      </w:pPr>
      <w:r>
        <w:t xml:space="preserve">7. Timeline</w:t>
      </w:r>
    </w:p>
    <w:p>
      <w:pPr>
        <w:numPr>
          <w:ilvl w:val="0"/>
          <w:numId w:val="1002"/>
        </w:numPr>
        <w:pStyle w:val="Compact"/>
      </w:pPr>
      <w:r>
        <w:rPr>
          <w:bCs/>
          <w:b/>
        </w:rPr>
        <w:t xml:space="preserve">Months 1-2:</w:t>
      </w:r>
      <w:r>
        <w:t xml:space="preserve"> </w:t>
      </w:r>
      <w:r>
        <w:t xml:space="preserve">Device fabrication and sterilization.</w:t>
      </w:r>
    </w:p>
    <w:p>
      <w:pPr>
        <w:numPr>
          <w:ilvl w:val="0"/>
          <w:numId w:val="1002"/>
        </w:numPr>
        <w:pStyle w:val="Compact"/>
      </w:pPr>
      <w:r>
        <w:rPr>
          <w:bCs/>
          <w:b/>
        </w:rPr>
        <w:t xml:space="preserve">Month 3:</w:t>
      </w:r>
      <w:r>
        <w:t xml:space="preserve"> </w:t>
      </w:r>
      <w:r>
        <w:t xml:space="preserve">Surgical implantation and baseline data collection.</w:t>
      </w:r>
    </w:p>
    <w:p>
      <w:pPr>
        <w:numPr>
          <w:ilvl w:val="0"/>
          <w:numId w:val="1002"/>
        </w:numPr>
        <w:pStyle w:val="Compact"/>
      </w:pPr>
      <w:r>
        <w:rPr>
          <w:bCs/>
          <w:b/>
        </w:rPr>
        <w:t xml:space="preserve">Months 4-6:</w:t>
      </w:r>
      <w:r>
        <w:t xml:space="preserve"> </w:t>
      </w:r>
      <w:r>
        <w:t xml:space="preserve">Longitudinal monitoring and data acquisition.</w:t>
      </w:r>
    </w:p>
    <w:p>
      <w:pPr>
        <w:numPr>
          <w:ilvl w:val="0"/>
          <w:numId w:val="1002"/>
        </w:numPr>
        <w:pStyle w:val="Compact"/>
      </w:pPr>
      <w:r>
        <w:rPr>
          <w:bCs/>
          <w:b/>
        </w:rPr>
        <w:t xml:space="preserve">Month 7:</w:t>
      </w:r>
      <w:r>
        <w:t xml:space="preserve"> </w:t>
      </w:r>
      <w:r>
        <w:t xml:space="preserve">Tissue harvesting and histological analysis.</w:t>
      </w:r>
    </w:p>
    <w:p>
      <w:pPr>
        <w:numPr>
          <w:ilvl w:val="0"/>
          <w:numId w:val="1002"/>
        </w:numPr>
        <w:pStyle w:val="Compact"/>
      </w:pPr>
      <w:r>
        <w:rPr>
          <w:bCs/>
          <w:b/>
        </w:rPr>
        <w:t xml:space="preserve">Months 8-9:</w:t>
      </w:r>
      <w:r>
        <w:t xml:space="preserve"> </w:t>
      </w:r>
      <w:r>
        <w:t xml:space="preserve">Data analysis and report writing.</w:t>
      </w:r>
    </w:p>
    <w:bookmarkEnd w:id="36"/>
    <w:bookmarkStart w:id="37" w:name="conclusion"/>
    <w:p>
      <w:pPr>
        <w:pStyle w:val="Heading2"/>
      </w:pPr>
      <w:r>
        <w:t xml:space="preserve">8. Conclusion</w:t>
      </w:r>
    </w:p>
    <w:p>
      <w:pPr>
        <w:pStyle w:val="FirstParagraph"/>
      </w:pPr>
      <w:r>
        <w:t xml:space="preserve">This Experiment Protocol provides a comprehensive framework for the evaluation of a new neural interface device. By adhering to these guidelines, the Biomedical Engineer ensures that the research is conducted with scientific rigor, ethical integrity, and regulatory compliance in Mexico City. The findings will contribute to the advancement of biomedical engineering and improve the quality of life for patients with neurological disorders.</w:t>
      </w:r>
    </w:p>
    <w:bookmarkEnd w:id="37"/>
    <w:p>
      <w:pPr>
        <w:pStyle w:val="BodyText"/>
      </w:pPr>
      <w:r>
        <w:rPr>
          <w:bCs/>
          <w:b/>
        </w:rPr>
        <w:t xml:space="preserve">Principal Investigator:</w:t>
      </w:r>
    </w:p>
    <w:p>
      <w:pPr>
        <w:pStyle w:val="BodyText"/>
      </w:pPr>
      <w:r>
        <w:t xml:space="preserve">Signature</w:t>
      </w:r>
    </w:p>
    <w:p>
      <w:pPr>
        <w:pStyle w:val="BodyText"/>
      </w:pPr>
      <w:r>
        <w:t xml:space="preserve">Name: [Biomedical Engineer Name]</w:t>
      </w:r>
    </w:p>
    <w:p>
      <w:pPr>
        <w:pStyle w:val="BodyText"/>
      </w:pPr>
      <w:r>
        <w:rPr>
          <w:bCs/>
          <w:b/>
        </w:rPr>
        <w:t xml:space="preserve">Ethics Committee Chair:</w:t>
      </w:r>
    </w:p>
    <w:p>
      <w:pPr>
        <w:pStyle w:val="BodyText"/>
      </w:pPr>
      <w:r>
        <w:t xml:space="preserve">Signature</w:t>
      </w:r>
    </w:p>
    <w:p>
      <w:pPr>
        <w:pStyle w:val="BodyText"/>
      </w:pPr>
      <w:r>
        <w:t xml:space="preserve">Name: [Chair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 Mexico City</dc:title>
  <dc:creator/>
  <dc:language>en</dc:language>
  <cp:keywords/>
  <dcterms:created xsi:type="dcterms:W3CDTF">2026-10-10T05:07:46Z</dcterms:created>
  <dcterms:modified xsi:type="dcterms:W3CDTF">2026-10-10T05:07:46Z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