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0" w:name="X485c6974d9de2f60e71a229b6dd58305e927e41"/>
    <w:p>
      <w:pPr>
        <w:pStyle w:val="Heading1"/>
      </w:pPr>
      <w:r>
        <w:t xml:space="preserve">Standard Experiment Protocol: Biomedical Engineering Field Study</w:t>
      </w:r>
    </w:p>
    <w:p>
      <w:pPr>
        <w:pStyle w:val="FirstParagraph"/>
      </w:pPr>
      <w:r>
        <w:rPr>
          <w:bCs/>
          <w:b/>
        </w:rPr>
        <w:t xml:space="preserve">Location:</w:t>
      </w:r>
      <w:r>
        <w:t xml:space="preserve"> </w:t>
      </w:r>
      <w:r>
        <w:t xml:space="preserve">Yangon, Myanmar</w:t>
      </w:r>
    </w:p>
    <w:p>
      <w:pPr>
        <w:pStyle w:val="BodyText"/>
      </w:pPr>
      <w:r>
        <w:rPr>
          <w:bCs/>
          <w:b/>
        </w:rPr>
        <w:t xml:space="preserve">Role:</w:t>
      </w:r>
      <w:r>
        <w:t xml:space="preserve"> </w:t>
      </w:r>
      <w:r>
        <w:t xml:space="preserve">Biomedical Engineer</w:t>
      </w:r>
    </w:p>
    <w:p>
      <w:pPr>
        <w:pStyle w:val="BodyText"/>
      </w:pPr>
      <w:r>
        <w:rPr>
          <w:bCs/>
          <w:b/>
        </w:rPr>
        <w:t xml:space="preserve">Protocol ID:</w:t>
      </w:r>
      <w:r>
        <w:t xml:space="preserve"> </w:t>
      </w:r>
      <w:r>
        <w:t xml:space="preserve">BME-YGN-2024-001</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Biomedical Engineer conducting field research and device validation within the healthcare infrastructure of Yangon, Myanmar. The primary objective is to evaluate the performance, reliability, and environmental resilience of portable diagnostic medical equipment under local operating conditions.</w:t>
      </w:r>
    </w:p>
    <w:p>
      <w:pPr>
        <w:pStyle w:val="BodyText"/>
      </w:pPr>
      <w:r>
        <w:t xml:space="preserve">Yangon presents a unique environment characterized by high humidity, variable power supply stability, and diverse patient demographics. As a Biomedical Engineer, the goal is to ensure that medical technologies are not only clinically accurate but also robust enough to withstand the specific logistical challenges of Myanmar's healthcare sector. This protocol ensures compliance with local regulations and international safety standards.</w:t>
      </w:r>
    </w:p>
    <w:bookmarkEnd w:id="21"/>
    <w:bookmarkStart w:id="22" w:name="scope-and-applicability"/>
    <w:p>
      <w:pPr>
        <w:pStyle w:val="Heading2"/>
      </w:pPr>
      <w:r>
        <w:t xml:space="preserve">2. Scope and Applicability</w:t>
      </w:r>
    </w:p>
    <w:p>
      <w:pPr>
        <w:pStyle w:val="FirstParagraph"/>
      </w:pPr>
      <w:r>
        <w:t xml:space="preserve">This protocol applies to all Biomedical Engineers and technical staff involved in the testing of electro-medical devices at selected clinical sites in Yangon. It covers the phases of site preparation, device calibration, data acquisition, and post-experiment analysis. The scope includes, but is not limited to, portable ECG monitors, pulse oximeters, and battery-operated infusion pumps.</w:t>
      </w:r>
    </w:p>
    <w:bookmarkEnd w:id="22"/>
    <w:bookmarkStart w:id="23" w:name="regulatory-compliance-and-ethics"/>
    <w:p>
      <w:pPr>
        <w:pStyle w:val="Heading2"/>
      </w:pPr>
      <w:r>
        <w:t xml:space="preserve">3. Regulatory Compliance and Ethics</w:t>
      </w:r>
    </w:p>
    <w:p>
      <w:pPr>
        <w:pStyle w:val="FirstParagraph"/>
      </w:pPr>
      <w:r>
        <w:t xml:space="preserve">All experiments must adhere to the regulations set forth by the Myanmar Food and Drug Administration (MFDA) and the ethical guidelines of the host institution in Yangon.</w:t>
      </w:r>
    </w:p>
    <w:p>
      <w:pPr>
        <w:numPr>
          <w:ilvl w:val="0"/>
          <w:numId w:val="1001"/>
        </w:numPr>
        <w:pStyle w:val="Compact"/>
      </w:pPr>
      <w:r>
        <w:rPr>
          <w:bCs/>
          <w:b/>
        </w:rPr>
        <w:t xml:space="preserve">Informed Consent:</w:t>
      </w:r>
      <w:r>
        <w:t xml:space="preserve"> </w:t>
      </w:r>
      <w:r>
        <w:t xml:space="preserve">Written informed consent must be obtained from all human subjects in accordance with local laws.</w:t>
      </w:r>
    </w:p>
    <w:p>
      <w:pPr>
        <w:numPr>
          <w:ilvl w:val="0"/>
          <w:numId w:val="1001"/>
        </w:numPr>
        <w:pStyle w:val="Compact"/>
      </w:pPr>
      <w:r>
        <w:rPr>
          <w:bCs/>
          <w:b/>
        </w:rPr>
        <w:t xml:space="preserve">IRB Approval:</w:t>
      </w:r>
      <w:r>
        <w:t xml:space="preserve"> </w:t>
      </w:r>
      <w:r>
        <w:t xml:space="preserve">The study protocol must be reviewed and approved by the Institutional Review Board of the participating hospital in Yangon prior to commencement.</w:t>
      </w:r>
    </w:p>
    <w:p>
      <w:pPr>
        <w:numPr>
          <w:ilvl w:val="0"/>
          <w:numId w:val="1001"/>
        </w:numPr>
        <w:pStyle w:val="Compact"/>
      </w:pPr>
      <w:r>
        <w:rPr>
          <w:bCs/>
          <w:b/>
        </w:rPr>
        <w:t xml:space="preserve">Data Privacy:</w:t>
      </w:r>
      <w:r>
        <w:t xml:space="preserve"> </w:t>
      </w:r>
      <w:r>
        <w:t xml:space="preserve">Patient data must be anonymized and stored securely, complying with Myanmar's data protection standards.</w:t>
      </w:r>
    </w:p>
    <w:bookmarkEnd w:id="23"/>
    <w:bookmarkStart w:id="24" w:name="environmental-considerations-for-yangon"/>
    <w:p>
      <w:pPr>
        <w:pStyle w:val="Heading2"/>
      </w:pPr>
      <w:r>
        <w:t xml:space="preserve">4. Environmental Considerations for Yangon</w:t>
      </w:r>
    </w:p>
    <w:p>
      <w:pPr>
        <w:pStyle w:val="FirstParagraph"/>
      </w:pPr>
      <w:r>
        <w:t xml:space="preserve">A critical aspect of this protocol is the adaptation to Yangon's tropical climate. The Biomedical Engineer must account for the following environmental factors during the experiment:</w:t>
      </w:r>
    </w:p>
    <w:p>
      <w:pPr>
        <w:numPr>
          <w:ilvl w:val="0"/>
          <w:numId w:val="1002"/>
        </w:numPr>
        <w:pStyle w:val="Compact"/>
      </w:pPr>
      <w:r>
        <w:rPr>
          <w:bCs/>
          <w:b/>
        </w:rPr>
        <w:t xml:space="preserve">Humidity:</w:t>
      </w:r>
      <w:r>
        <w:t xml:space="preserve"> </w:t>
      </w:r>
      <w:r>
        <w:t xml:space="preserve">Yangon experiences high humidity levels, often exceeding 80%. Equipment must be tested for condensation risks and electrical insulation integrity.</w:t>
      </w:r>
    </w:p>
    <w:p>
      <w:pPr>
        <w:numPr>
          <w:ilvl w:val="0"/>
          <w:numId w:val="1002"/>
        </w:numPr>
        <w:pStyle w:val="Compact"/>
      </w:pPr>
      <w:r>
        <w:rPr>
          <w:bCs/>
          <w:b/>
        </w:rPr>
        <w:t xml:space="preserve">Temperature:</w:t>
      </w:r>
      <w:r>
        <w:t xml:space="preserve"> </w:t>
      </w:r>
      <w:r>
        <w:t xml:space="preserve">Ambient temperatures frequently range between 25°C and 35°C. Thermal management of devices must be monitored.</w:t>
      </w:r>
    </w:p>
    <w:p>
      <w:pPr>
        <w:numPr>
          <w:ilvl w:val="0"/>
          <w:numId w:val="1002"/>
        </w:numPr>
        <w:pStyle w:val="Compact"/>
      </w:pPr>
      <w:r>
        <w:rPr>
          <w:bCs/>
          <w:b/>
        </w:rPr>
        <w:t xml:space="preserve">Power Quality:</w:t>
      </w:r>
      <w:r>
        <w:t xml:space="preserve"> </w:t>
      </w:r>
      <w:r>
        <w:t xml:space="preserve">Voltage fluctuations are common. The experiment must include testing of devices under unstable power conditions using local grid supply versus battery backup.</w:t>
      </w:r>
    </w:p>
    <w:bookmarkEnd w:id="24"/>
    <w:bookmarkStart w:id="25" w:name="materials-and-equipment"/>
    <w:p>
      <w:pPr>
        <w:pStyle w:val="Heading2"/>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Portable Diagnostic Device</w:t>
            </w:r>
          </w:p>
        </w:tc>
        <w:tc>
          <w:tcPr/>
          <w:p>
            <w:pPr>
              <w:pStyle w:val="Compact"/>
              <w:jc w:val="left"/>
            </w:pPr>
            <w:r>
              <w:t xml:space="preserve">Prototype Model X-200</w:t>
            </w:r>
          </w:p>
        </w:tc>
        <w:tc>
          <w:tcPr/>
          <w:p>
            <w:pPr>
              <w:pStyle w:val="Compact"/>
              <w:jc w:val="left"/>
            </w:pPr>
            <w:r>
              <w:t xml:space="preserve">5 Units</w:t>
            </w:r>
          </w:p>
        </w:tc>
      </w:tr>
      <w:tr>
        <w:tc>
          <w:tcPr/>
          <w:p>
            <w:pPr>
              <w:pStyle w:val="Compact"/>
              <w:jc w:val="left"/>
            </w:pPr>
            <w:r>
              <w:t xml:space="preserve">Reference Standard Device</w:t>
            </w:r>
          </w:p>
        </w:tc>
        <w:tc>
          <w:tcPr/>
          <w:p>
            <w:pPr>
              <w:pStyle w:val="Compact"/>
              <w:jc w:val="left"/>
            </w:pPr>
            <w:r>
              <w:t xml:space="preserve">Clinical Grade (Calibrated)</w:t>
            </w:r>
          </w:p>
        </w:tc>
        <w:tc>
          <w:tcPr/>
          <w:p>
            <w:pPr>
              <w:pStyle w:val="Compact"/>
              <w:jc w:val="left"/>
            </w:pPr>
            <w:r>
              <w:t xml:space="preserve">2 Units</w:t>
            </w:r>
          </w:p>
        </w:tc>
      </w:tr>
      <w:tr>
        <w:tc>
          <w:tcPr/>
          <w:p>
            <w:pPr>
              <w:pStyle w:val="Compact"/>
              <w:jc w:val="left"/>
            </w:pPr>
            <w:r>
              <w:t xml:space="preserve">Power Conditioner</w:t>
            </w:r>
          </w:p>
        </w:tc>
        <w:tc>
          <w:tcPr/>
          <w:p>
            <w:pPr>
              <w:pStyle w:val="Compact"/>
              <w:jc w:val="left"/>
            </w:pPr>
            <w:r>
              <w:t xml:space="preserve">Stabilizer for 220V/50Hz</w:t>
            </w:r>
          </w:p>
        </w:tc>
        <w:tc>
          <w:tcPr/>
          <w:p>
            <w:pPr>
              <w:pStyle w:val="Compact"/>
              <w:jc w:val="left"/>
            </w:pPr>
            <w:r>
              <w:t xml:space="preserve">3 Units</w:t>
            </w:r>
          </w:p>
        </w:tc>
      </w:tr>
      <w:tr>
        <w:tc>
          <w:tcPr/>
          <w:p>
            <w:pPr>
              <w:pStyle w:val="Compact"/>
              <w:jc w:val="left"/>
            </w:pPr>
            <w:r>
              <w:t xml:space="preserve">Environmental Monitor</w:t>
            </w:r>
          </w:p>
        </w:tc>
        <w:tc>
          <w:tcPr/>
          <w:p>
            <w:pPr>
              <w:pStyle w:val="Compact"/>
              <w:jc w:val="left"/>
            </w:pPr>
            <w:r>
              <w:t xml:space="preserve">Temp/Humidity Logger</w:t>
            </w:r>
          </w:p>
        </w:tc>
        <w:tc>
          <w:tcPr/>
          <w:p>
            <w:pPr>
              <w:pStyle w:val="Compact"/>
              <w:jc w:val="left"/>
            </w:pPr>
            <w:r>
              <w:t xml:space="preserve">2 Units</w:t>
            </w:r>
          </w:p>
        </w:tc>
      </w:tr>
      <w:tr>
        <w:tc>
          <w:tcPr/>
          <w:p>
            <w:pPr>
              <w:pStyle w:val="Compact"/>
              <w:jc w:val="left"/>
            </w:pPr>
            <w:r>
              <w:t xml:space="preserve">PPE</w:t>
            </w:r>
          </w:p>
        </w:tc>
        <w:tc>
          <w:tcPr/>
          <w:p>
            <w:pPr>
              <w:pStyle w:val="Compact"/>
              <w:jc w:val="left"/>
            </w:pPr>
            <w:r>
              <w:t xml:space="preserve">Gloves, Masks, Gowns</w:t>
            </w:r>
          </w:p>
        </w:tc>
        <w:tc>
          <w:tcPr/>
          <w:p>
            <w:pPr>
              <w:pStyle w:val="Compact"/>
              <w:jc w:val="left"/>
            </w:pPr>
            <w:r>
              <w:t xml:space="preserve">As needed</w:t>
            </w:r>
          </w:p>
        </w:tc>
      </w:tr>
    </w:tbl>
    <w:bookmarkEnd w:id="25"/>
    <w:bookmarkStart w:id="30" w:name="experimental-procedure"/>
    <w:p>
      <w:pPr>
        <w:pStyle w:val="Heading2"/>
      </w:pPr>
      <w:r>
        <w:t xml:space="preserve">6. Experimental Procedure</w:t>
      </w:r>
    </w:p>
    <w:bookmarkStart w:id="26" w:name="pre-experiment-setup"/>
    <w:p>
      <w:pPr>
        <w:pStyle w:val="Heading3"/>
      </w:pPr>
      <w:r>
        <w:t xml:space="preserve">6.1. Pre-Experiment Setup</w:t>
      </w:r>
    </w:p>
    <w:p>
      <w:pPr>
        <w:pStyle w:val="FirstParagraph"/>
      </w:pPr>
      <w:r>
        <w:t xml:space="preserve">Upon arrival at the clinical site in Yangon, the Biomedical Engineer must perform a site assessment. This includes verifying the availability of clean water, stable internet for data transfer (if required), and appropriate storage for equipment. All devices must be calibrated against the reference standard before use.</w:t>
      </w:r>
    </w:p>
    <w:bookmarkEnd w:id="26"/>
    <w:bookmarkStart w:id="27" w:name="device-installation-and-safety-check"/>
    <w:p>
      <w:pPr>
        <w:pStyle w:val="Heading3"/>
      </w:pPr>
      <w:r>
        <w:t xml:space="preserve">6.2. Device Installation and Safety Check</w:t>
      </w:r>
    </w:p>
    <w:p>
      <w:pPr>
        <w:pStyle w:val="FirstParagraph"/>
      </w:pPr>
      <w:r>
        <w:t xml:space="preserve">Install the prototype devices in the designated ward. Perform a leakage current test and earth continuity check to ensure patient safety, especially given the potential for grounding issues in older infrastructure in Yangon. Document all safety checks in the logbook.</w:t>
      </w:r>
    </w:p>
    <w:bookmarkEnd w:id="27"/>
    <w:bookmarkStart w:id="28" w:name="data-acquisition"/>
    <w:p>
      <w:pPr>
        <w:pStyle w:val="Heading3"/>
      </w:pPr>
      <w:r>
        <w:t xml:space="preserve">6.3. Data Acquisition</w:t>
      </w:r>
    </w:p>
    <w:p>
      <w:pPr>
        <w:pStyle w:val="FirstParagraph"/>
      </w:pPr>
      <w:r>
        <w:t xml:space="preserve">The experiment will run for a period of 14 days. During this time, the Biomedical Engineer will:</w:t>
      </w:r>
    </w:p>
    <w:p>
      <w:pPr>
        <w:numPr>
          <w:ilvl w:val="0"/>
          <w:numId w:val="1003"/>
        </w:numPr>
        <w:pStyle w:val="Compact"/>
      </w:pPr>
      <w:r>
        <w:t xml:space="preserve">Record device performance metrics every 4 hours.</w:t>
      </w:r>
    </w:p>
    <w:p>
      <w:pPr>
        <w:numPr>
          <w:ilvl w:val="0"/>
          <w:numId w:val="1003"/>
        </w:numPr>
        <w:pStyle w:val="Compact"/>
      </w:pPr>
      <w:r>
        <w:t xml:space="preserve">Compare readings from the prototype device against the reference standard device for a sample of 50 patients.</w:t>
      </w:r>
    </w:p>
    <w:p>
      <w:pPr>
        <w:numPr>
          <w:ilvl w:val="0"/>
          <w:numId w:val="1003"/>
        </w:numPr>
        <w:pStyle w:val="Compact"/>
      </w:pPr>
      <w:r>
        <w:t xml:space="preserve">Monitor battery life under continuous operation.</w:t>
      </w:r>
    </w:p>
    <w:p>
      <w:pPr>
        <w:numPr>
          <w:ilvl w:val="0"/>
          <w:numId w:val="1003"/>
        </w:numPr>
        <w:pStyle w:val="Compact"/>
      </w:pPr>
      <w:r>
        <w:t xml:space="preserve">Log any environmental anomalies (e.g., power outages, extreme humidity spikes).</w:t>
      </w:r>
    </w:p>
    <w:bookmarkEnd w:id="28"/>
    <w:bookmarkStart w:id="29" w:name="maintenance-and-troubleshooting"/>
    <w:p>
      <w:pPr>
        <w:pStyle w:val="Heading3"/>
      </w:pPr>
      <w:r>
        <w:t xml:space="preserve">6.4. Maintenance and Troubleshooting</w:t>
      </w:r>
    </w:p>
    <w:p>
      <w:pPr>
        <w:pStyle w:val="FirstParagraph"/>
      </w:pPr>
      <w:r>
        <w:t xml:space="preserve">If a device malfunctions, the Biomedical Engineer must immediately remove it from service, tag it as "Out of Order," and initiate the troubleshooting protocol. No patient data should be collected from a malfunctioning unit.</w:t>
      </w:r>
    </w:p>
    <w:bookmarkEnd w:id="29"/>
    <w:bookmarkEnd w:id="30"/>
    <w:bookmarkStart w:id="31" w:name="risk-management"/>
    <w:p>
      <w:pPr>
        <w:pStyle w:val="Heading2"/>
      </w:pPr>
      <w:r>
        <w:t xml:space="preserve">7. Risk Management</w:t>
      </w:r>
    </w:p>
    <w:p>
      <w:pPr>
        <w:pStyle w:val="FirstParagraph"/>
      </w:pPr>
      <w:r>
        <w:rPr>
          <w:bCs/>
          <w:b/>
        </w:rPr>
        <w:t xml:space="preserve">Warning:</w:t>
      </w:r>
      <w:r>
        <w:t xml:space="preserve"> </w:t>
      </w:r>
      <w:r>
        <w:t xml:space="preserve">Electrical safety is paramount. Ensure all equipment is properly grounded.</w:t>
      </w:r>
    </w:p>
    <w:p>
      <w:pPr>
        <w:numPr>
          <w:ilvl w:val="0"/>
          <w:numId w:val="1004"/>
        </w:numPr>
        <w:pStyle w:val="Compact"/>
      </w:pPr>
      <w:r>
        <w:rPr>
          <w:bCs/>
          <w:b/>
        </w:rPr>
        <w:t xml:space="preserve">Electrical Hazard:</w:t>
      </w:r>
      <w:r>
        <w:t xml:space="preserve"> </w:t>
      </w:r>
      <w:r>
        <w:t xml:space="preserve">Use surge protectors to protect sensitive electronics from voltage spikes common in Yangon.</w:t>
      </w:r>
    </w:p>
    <w:p>
      <w:pPr>
        <w:numPr>
          <w:ilvl w:val="0"/>
          <w:numId w:val="1004"/>
        </w:numPr>
        <w:pStyle w:val="Compact"/>
      </w:pPr>
      <w:r>
        <w:rPr>
          <w:bCs/>
          <w:b/>
        </w:rPr>
        <w:t xml:space="preserve">Infection Control:</w:t>
      </w:r>
      <w:r>
        <w:t xml:space="preserve"> </w:t>
      </w:r>
      <w:r>
        <w:t xml:space="preserve">Follow strict sterilization protocols for all patient-contact surfaces.</w:t>
      </w:r>
    </w:p>
    <w:p>
      <w:pPr>
        <w:numPr>
          <w:ilvl w:val="0"/>
          <w:numId w:val="1004"/>
        </w:numPr>
        <w:pStyle w:val="Compact"/>
      </w:pPr>
      <w:r>
        <w:rPr>
          <w:bCs/>
          <w:b/>
        </w:rPr>
        <w:t xml:space="preserve">Data Loss:</w:t>
      </w:r>
      <w:r>
        <w:t xml:space="preserve"> </w:t>
      </w:r>
      <w:r>
        <w:t xml:space="preserve">Implement redundant data storage solutions to prevent loss due to power failures.</w:t>
      </w:r>
    </w:p>
    <w:bookmarkEnd w:id="31"/>
    <w:bookmarkStart w:id="32" w:name="data-analysis-and-reporting"/>
    <w:p>
      <w:pPr>
        <w:pStyle w:val="Heading2"/>
      </w:pPr>
      <w:r>
        <w:t xml:space="preserve">8. Data Analysis and Reporting</w:t>
      </w:r>
    </w:p>
    <w:p>
      <w:pPr>
        <w:pStyle w:val="FirstParagraph"/>
      </w:pPr>
      <w:r>
        <w:t xml:space="preserve">Upon completion of the experiment, the Biomedical Engineer will compile all data. The analysis will focus on:</w:t>
      </w:r>
    </w:p>
    <w:p>
      <w:pPr>
        <w:numPr>
          <w:ilvl w:val="0"/>
          <w:numId w:val="1005"/>
        </w:numPr>
        <w:pStyle w:val="Compact"/>
      </w:pPr>
      <w:r>
        <w:t xml:space="preserve">Accuracy and precision of the diagnostic devices.</w:t>
      </w:r>
    </w:p>
    <w:p>
      <w:pPr>
        <w:numPr>
          <w:ilvl w:val="0"/>
          <w:numId w:val="1005"/>
        </w:numPr>
        <w:pStyle w:val="Compact"/>
      </w:pPr>
      <w:r>
        <w:t xml:space="preserve">Reliability under Yangon's specific environmental conditions.</w:t>
      </w:r>
    </w:p>
    <w:p>
      <w:pPr>
        <w:numPr>
          <w:ilvl w:val="0"/>
          <w:numId w:val="1005"/>
        </w:numPr>
        <w:pStyle w:val="Compact"/>
      </w:pPr>
      <w:r>
        <w:t xml:space="preserve">User feedback from medical staff in Myanmar regarding usability.</w:t>
      </w:r>
    </w:p>
    <w:p>
      <w:pPr>
        <w:pStyle w:val="FirstParagraph"/>
      </w:pPr>
      <w:r>
        <w:t xml:space="preserve">A final report will be submitted to the project stakeholders, highlighting any necessary design modifications to improve suitability for the Myanmar market.</w:t>
      </w:r>
    </w:p>
    <w:bookmarkEnd w:id="32"/>
    <w:bookmarkStart w:id="33" w:name="conclusion"/>
    <w:p>
      <w:pPr>
        <w:pStyle w:val="Heading2"/>
      </w:pPr>
      <w:r>
        <w:t xml:space="preserve">9. Conclusion</w:t>
      </w:r>
    </w:p>
    <w:p>
      <w:pPr>
        <w:pStyle w:val="FirstParagraph"/>
      </w:pPr>
      <w:r>
        <w:t xml:space="preserve">This Experiment Protocol provides a comprehensive framework for Biomedical Engineers operating in Yangon, Myanmar. By strictly adhering to these guidelines, we ensure the safety of patients, the integrity of the data, and the development of robust medical technologies tailored to the needs of the region.</w:t>
      </w:r>
    </w:p>
    <w:bookmarkEnd w:id="33"/>
    <w:bookmarkStart w:id="34" w:name="signatures"/>
    <w:p>
      <w:pPr>
        <w:pStyle w:val="Heading3"/>
      </w:pPr>
      <w:r>
        <w:t xml:space="preserve">Signatures</w:t>
      </w:r>
    </w:p>
    <w:p>
      <w:pPr>
        <w:pStyle w:val="FirstParagraph"/>
      </w:pPr>
      <w:r>
        <w:rPr>
          <w:bCs/>
          <w:b/>
        </w:rPr>
        <w:t xml:space="preserve">Lead Biomedical Engineer:</w:t>
      </w:r>
      <w:r>
        <w:t xml:space="preserve"> </w:t>
      </w:r>
      <w:r>
        <w:t xml:space="preserve">__________________________ Date: __________</w:t>
      </w:r>
    </w:p>
    <w:p>
      <w:pPr>
        <w:pStyle w:val="BodyText"/>
      </w:pPr>
      <w:r>
        <w:rPr>
          <w:bCs/>
          <w:b/>
        </w:rPr>
        <w:t xml:space="preserve">Site Supervisor (Yangon Hospital):</w:t>
      </w:r>
      <w:r>
        <w:t xml:space="preserve"> </w:t>
      </w:r>
      <w:r>
        <w:t xml:space="preserve">__________________________ Date: 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Yangon, Myanmar</dc:title>
  <dc:creator/>
  <dc:language>en</dc:language>
  <cp:keywords/>
  <dcterms:created xsi:type="dcterms:W3CDTF">2026-10-10T05:38:58Z</dcterms:created>
  <dcterms:modified xsi:type="dcterms:W3CDTF">2026-10-10T05:38:58Z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