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0" w:name="X0db5ac79884174d3e4fe00583894b98cba18d19"/>
    <w:p>
      <w:pPr>
        <w:pStyle w:val="Heading1"/>
      </w:pPr>
      <w:r>
        <w:t xml:space="preserve">Experiment Protocol: Biomedical Engineering Research</w:t>
      </w:r>
    </w:p>
    <w:p>
      <w:pPr>
        <w:pStyle w:val="FirstParagraph"/>
      </w:pPr>
      <w:r>
        <w:rPr>
          <w:bCs/>
          <w:b/>
        </w:rPr>
        <w:t xml:space="preserve">Location:</w:t>
      </w:r>
      <w:r>
        <w:t xml:space="preserve"> </w:t>
      </w:r>
      <w:r>
        <w:t xml:space="preserve">Manila, Philippines</w:t>
      </w:r>
    </w:p>
    <w:p>
      <w:pPr>
        <w:pStyle w:val="BodyText"/>
      </w:pPr>
      <w:r>
        <w:rPr>
          <w:bCs/>
          <w:b/>
        </w:rPr>
        <w:t xml:space="preserve">Discipline:</w:t>
      </w:r>
      <w:r>
        <w:t xml:space="preserve"> </w:t>
      </w:r>
      <w:r>
        <w:t xml:space="preserve">Biomedical Engineering</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document outlines the standardized Experiment Protocol for biomedical engineering research conducted within the National Capital Region (NCR) of Manila, Philippines. The primary objective of this protocol is to ensure the safety, efficacy, and ethical integrity of biomedical experiments involving medical devices, biomaterials, or physiological monitoring systems.</w:t>
      </w:r>
    </w:p>
    <w:p>
      <w:pPr>
        <w:pStyle w:val="BodyText"/>
      </w:pPr>
      <w:r>
        <w:t xml:space="preserve">As a Biomedical Engineer operating in Manila, adherence to this protocol is mandatory to align with the regulations set forth by the Philippine Food and Drug Administration (FDA) and the Department of Health (DOH). The protocol specifically addresses the unique environmental and infrastructural conditions of Manila, such as tropical humidity and power grid variability, which can significantly impact sensitive biomedical instrumentation.</w:t>
      </w:r>
    </w:p>
    <w:p>
      <w:pPr>
        <w:pStyle w:val="BodyText"/>
      </w:pPr>
      <w:r>
        <w:t xml:space="preserve">2. Regulatory Compliance and Ethics</w:t>
      </w:r>
    </w:p>
    <w:p>
      <w:pPr>
        <w:pStyle w:val="BodyText"/>
      </w:pPr>
      <w:r>
        <w:t xml:space="preserve">All experiments must strictly comply with the following Philippine regulatory frameworks:</w:t>
      </w:r>
    </w:p>
    <w:p>
      <w:pPr>
        <w:numPr>
          <w:ilvl w:val="0"/>
          <w:numId w:val="1001"/>
        </w:numPr>
        <w:pStyle w:val="Compact"/>
      </w:pPr>
      <w:r>
        <w:rPr>
          <w:bCs/>
          <w:b/>
        </w:rPr>
        <w:t xml:space="preserve">Republic Act No. 9711:</w:t>
      </w:r>
      <w:r>
        <w:t xml:space="preserve"> </w:t>
      </w:r>
      <w:r>
        <w:t xml:space="preserve">The Philippine FDA Act of 2009, ensuring the safety and quality of medical devices.</w:t>
      </w:r>
    </w:p>
    <w:p>
      <w:pPr>
        <w:numPr>
          <w:ilvl w:val="0"/>
          <w:numId w:val="1001"/>
        </w:numPr>
        <w:pStyle w:val="Compact"/>
      </w:pPr>
      <w:r>
        <w:rPr>
          <w:bCs/>
          <w:b/>
        </w:rPr>
        <w:t xml:space="preserve">Republic Act No. 10175:</w:t>
      </w:r>
      <w:r>
        <w:t xml:space="preserve"> </w:t>
      </w:r>
      <w:r>
        <w:t xml:space="preserve">The Cybercrime Prevention Act, relevant for data privacy in digital health experiments.</w:t>
      </w:r>
    </w:p>
    <w:p>
      <w:pPr>
        <w:numPr>
          <w:ilvl w:val="0"/>
          <w:numId w:val="1001"/>
        </w:numPr>
        <w:pStyle w:val="Compact"/>
      </w:pPr>
      <w:r>
        <w:rPr>
          <w:bCs/>
          <w:b/>
        </w:rPr>
        <w:t xml:space="preserve">Republic Act No. 10173:</w:t>
      </w:r>
      <w:r>
        <w:t xml:space="preserve"> </w:t>
      </w:r>
      <w:r>
        <w:t xml:space="preserve">The Data Privacy Act of 2012, protecting patient information.</w:t>
      </w:r>
    </w:p>
    <w:p>
      <w:pPr>
        <w:numPr>
          <w:ilvl w:val="0"/>
          <w:numId w:val="1001"/>
        </w:numPr>
        <w:pStyle w:val="Compact"/>
      </w:pPr>
      <w:r>
        <w:rPr>
          <w:bCs/>
          <w:b/>
        </w:rPr>
        <w:t xml:space="preserve">Department of Health Administrative Order No. 2012-0018:</w:t>
      </w:r>
      <w:r>
        <w:t xml:space="preserve"> </w:t>
      </w:r>
      <w:r>
        <w:t xml:space="preserve">Guidelines on Good Clinical Practice.</w:t>
      </w:r>
    </w:p>
    <w:p>
      <w:pPr>
        <w:pStyle w:val="FirstParagraph"/>
      </w:pPr>
      <w:r>
        <w:t xml:space="preserve">Prior to commencing any experiment, the Biomedical Engineer must secure approval from the Institutional Review Board (IRB) of the host institution in Manila. Informed consent must be obtained from all human subjects, written in both English and Filipino (Tagalog) to ensure full comprehension.</w:t>
      </w:r>
    </w:p>
    <w:p>
      <w:pPr>
        <w:pStyle w:val="BodyText"/>
      </w:pPr>
      <w:r>
        <w:t xml:space="preserve">3. Environmental and Infrastructure Controls</w:t>
      </w:r>
    </w:p>
    <w:p>
      <w:pPr>
        <w:pStyle w:val="BodyText"/>
      </w:pPr>
      <w:r>
        <w:t xml:space="preserve">Given the tropical climate of Manila, environmental control is a critical component of this Experiment Protocol.</w:t>
      </w:r>
    </w:p>
    <w:p>
      <w:pPr>
        <w:numPr>
          <w:ilvl w:val="0"/>
          <w:numId w:val="1002"/>
        </w:numPr>
        <w:pStyle w:val="Compact"/>
      </w:pPr>
      <w:r>
        <w:rPr>
          <w:bCs/>
          <w:b/>
        </w:rPr>
        <w:t xml:space="preserve">Temperature and Humidity:</w:t>
      </w:r>
      <w:r>
        <w:t xml:space="preserve"> </w:t>
      </w:r>
      <w:r>
        <w:t xml:space="preserve">The laboratory must maintain a temperature between 20°C and 25°C with relative humidity below 60%. Biomedical sensors and electronic components are susceptible to corrosion and drift in high humidity. Continuous monitoring using calibrated hygrometers is required.</w:t>
      </w:r>
    </w:p>
    <w:p>
      <w:pPr>
        <w:numPr>
          <w:ilvl w:val="0"/>
          <w:numId w:val="1002"/>
        </w:numPr>
        <w:pStyle w:val="Compact"/>
      </w:pPr>
      <w:r>
        <w:rPr>
          <w:bCs/>
          <w:b/>
        </w:rPr>
        <w:t xml:space="preserve">Power Stability:</w:t>
      </w:r>
      <w:r>
        <w:t xml:space="preserve"> </w:t>
      </w:r>
      <w:r>
        <w:t xml:space="preserve">Due to potential fluctuations in the Manila power grid, all critical biomedical equipment must be connected to an Uninterruptible Power Supply (UPS) with a minimum runtime of 30 minutes. Voltage stabilizers must be used to protect sensitive analog-to-digital converters and microcontrollers.</w:t>
      </w:r>
    </w:p>
    <w:p>
      <w:pPr>
        <w:numPr>
          <w:ilvl w:val="0"/>
          <w:numId w:val="1002"/>
        </w:numPr>
        <w:pStyle w:val="Compact"/>
      </w:pPr>
      <w:r>
        <w:rPr>
          <w:bCs/>
          <w:b/>
        </w:rPr>
        <w:t xml:space="preserve">Electromagnetic Interference (EMI):</w:t>
      </w:r>
      <w:r>
        <w:t xml:space="preserve"> </w:t>
      </w:r>
      <w:r>
        <w:t xml:space="preserve">Laboratories located in dense urban areas of Manila may experience high EMI. Shielded enclosures and proper grounding techniques must be employed to ensure signal integrity in physiological measurements.</w:t>
      </w:r>
    </w:p>
    <w:p>
      <w:pPr>
        <w:pStyle w:val="FirstParagraph"/>
      </w:pPr>
      <w:r>
        <w:t xml:space="preserve">4. Equipment Calibration and Maintenance</w:t>
      </w:r>
    </w:p>
    <w:p>
      <w:pPr>
        <w:pStyle w:val="BodyText"/>
      </w:pPr>
      <w:r>
        <w:t xml:space="preserve">The Biomedical Engineer is responsible for the calibration and maintenance of all devices used in the experiment.</w:t>
      </w:r>
    </w:p>
    <w:p>
      <w:pPr>
        <w:numPr>
          <w:ilvl w:val="0"/>
          <w:numId w:val="1003"/>
        </w:numPr>
        <w:pStyle w:val="Compact"/>
      </w:pPr>
      <w:r>
        <w:rPr>
          <w:bCs/>
          <w:b/>
        </w:rPr>
        <w:t xml:space="preserve">Calibration Standards:</w:t>
      </w:r>
      <w:r>
        <w:t xml:space="preserve"> </w:t>
      </w:r>
      <w:r>
        <w:t xml:space="preserve">All measurement devices must be calibrated against traceable standards recognized by the Philippine Accreditation Agency (PAA).</w:t>
      </w:r>
    </w:p>
    <w:p>
      <w:pPr>
        <w:numPr>
          <w:ilvl w:val="0"/>
          <w:numId w:val="1003"/>
        </w:numPr>
        <w:pStyle w:val="Compact"/>
      </w:pPr>
      <w:r>
        <w:rPr>
          <w:bCs/>
          <w:b/>
        </w:rPr>
        <w:t xml:space="preserve">Pre-Experiment Check:</w:t>
      </w:r>
      <w:r>
        <w:t xml:space="preserve"> </w:t>
      </w:r>
      <w:r>
        <w:t xml:space="preserve">A functional test must be performed on all equipment 24 hours before the experiment. This includes checking battery levels, sensor integrity, and software firmware versions.</w:t>
      </w:r>
    </w:p>
    <w:p>
      <w:pPr>
        <w:numPr>
          <w:ilvl w:val="0"/>
          <w:numId w:val="1003"/>
        </w:numPr>
        <w:pStyle w:val="Compact"/>
      </w:pPr>
      <w:r>
        <w:rPr>
          <w:bCs/>
          <w:b/>
        </w:rPr>
        <w:t xml:space="preserve">Documentation:</w:t>
      </w:r>
      <w:r>
        <w:t xml:space="preserve"> </w:t>
      </w:r>
      <w:r>
        <w:t xml:space="preserve">A logbook must be maintained recording all calibration dates, maintenance activities, and any anomalies detected. This log is subject to audit by the FDA Philippines.</w:t>
      </w:r>
    </w:p>
    <w:p>
      <w:pPr>
        <w:pStyle w:val="FirstParagraph"/>
      </w:pPr>
      <w:r>
        <w:t xml:space="preserve">5. Experimental Procedure</w:t>
      </w:r>
    </w:p>
    <w:p>
      <w:pPr>
        <w:pStyle w:val="BodyText"/>
      </w:pPr>
      <w:r>
        <w:t xml:space="preserve">The following steps outline the core procedure for the experiment:</w:t>
      </w:r>
    </w:p>
    <w:p>
      <w:pPr>
        <w:numPr>
          <w:ilvl w:val="0"/>
          <w:numId w:val="1004"/>
        </w:numPr>
        <w:pStyle w:val="Compact"/>
      </w:pPr>
      <w:r>
        <w:rPr>
          <w:bCs/>
          <w:b/>
        </w:rPr>
        <w:t xml:space="preserve">Subject Preparation:</w:t>
      </w:r>
      <w:r>
        <w:t xml:space="preserve"> </w:t>
      </w:r>
      <w:r>
        <w:t xml:space="preserve">Verify subject identity and consent. Ensure the subject is in a stable physiological state. For experiments in Manila hospitals, coordinate with nursing staff to minimize disruption to patient care.</w:t>
      </w:r>
    </w:p>
    <w:p>
      <w:pPr>
        <w:numPr>
          <w:ilvl w:val="0"/>
          <w:numId w:val="1004"/>
        </w:numPr>
        <w:pStyle w:val="Compact"/>
      </w:pPr>
      <w:r>
        <w:rPr>
          <w:bCs/>
          <w:b/>
        </w:rPr>
        <w:t xml:space="preserve">Device Setup:</w:t>
      </w:r>
      <w:r>
        <w:t xml:space="preserve"> </w:t>
      </w:r>
      <w:r>
        <w:t xml:space="preserve">Install the biomedical device according to the manufacturer's instructions. Ensure all connections are secure and insulated to prevent electrical shock hazards.</w:t>
      </w:r>
    </w:p>
    <w:p>
      <w:pPr>
        <w:numPr>
          <w:ilvl w:val="0"/>
          <w:numId w:val="1004"/>
        </w:numPr>
        <w:pStyle w:val="Compact"/>
      </w:pPr>
      <w:r>
        <w:rPr>
          <w:bCs/>
          <w:b/>
        </w:rPr>
        <w:t xml:space="preserve">Baseline Measurement:</w:t>
      </w:r>
      <w:r>
        <w:t xml:space="preserve"> </w:t>
      </w:r>
      <w:r>
        <w:t xml:space="preserve">Record baseline physiological data for at least 10 minutes to establish a reference point.</w:t>
      </w:r>
    </w:p>
    <w:p>
      <w:pPr>
        <w:numPr>
          <w:ilvl w:val="0"/>
          <w:numId w:val="1004"/>
        </w:numPr>
        <w:pStyle w:val="Compact"/>
      </w:pPr>
      <w:r>
        <w:rPr>
          <w:bCs/>
          <w:b/>
        </w:rPr>
        <w:t xml:space="preserve">Data Acquisition:</w:t>
      </w:r>
      <w:r>
        <w:t xml:space="preserve"> </w:t>
      </w:r>
      <w:r>
        <w:t xml:space="preserve">Begin data collection. The Biomedical Engineer must monitor the system in real-time to detect any artifacts or equipment malfunctions.</w:t>
      </w:r>
    </w:p>
    <w:p>
      <w:pPr>
        <w:numPr>
          <w:ilvl w:val="0"/>
          <w:numId w:val="1004"/>
        </w:numPr>
        <w:pStyle w:val="Compact"/>
      </w:pPr>
      <w:r>
        <w:rPr>
          <w:bCs/>
          <w:b/>
        </w:rPr>
        <w:t xml:space="preserve">Intervention (if applicable):</w:t>
      </w:r>
      <w:r>
        <w:t xml:space="preserve"> </w:t>
      </w:r>
      <w:r>
        <w:t xml:space="preserve">If the experiment involves an active intervention (e.g., stimulation therapy), apply the intervention gradually while monitoring subject response.</w:t>
      </w:r>
    </w:p>
    <w:p>
      <w:pPr>
        <w:numPr>
          <w:ilvl w:val="0"/>
          <w:numId w:val="1004"/>
        </w:numPr>
        <w:pStyle w:val="Compact"/>
      </w:pPr>
      <w:r>
        <w:rPr>
          <w:bCs/>
          <w:b/>
        </w:rPr>
        <w:t xml:space="preserve">Termination:</w:t>
      </w:r>
      <w:r>
        <w:t xml:space="preserve"> </w:t>
      </w:r>
      <w:r>
        <w:t xml:space="preserve">Conclude the experiment safely. Remove all devices and ensure the subject is stable. Provide post-experiment care instructions.</w:t>
      </w:r>
    </w:p>
    <w:p>
      <w:pPr>
        <w:pStyle w:val="FirstParagraph"/>
      </w:pPr>
      <w:r>
        <w:t xml:space="preserve">6. Data Management and Analysis</w:t>
      </w:r>
    </w:p>
    <w:p>
      <w:pPr>
        <w:pStyle w:val="BodyText"/>
      </w:pPr>
      <w:r>
        <w:t xml:space="preserve">Data collected during the experiment must be handled with strict confidentiality.</w:t>
      </w:r>
    </w:p>
    <w:p>
      <w:pPr>
        <w:numPr>
          <w:ilvl w:val="0"/>
          <w:numId w:val="1005"/>
        </w:numPr>
        <w:pStyle w:val="Compact"/>
      </w:pPr>
      <w:r>
        <w:rPr>
          <w:bCs/>
          <w:b/>
        </w:rPr>
        <w:t xml:space="preserve">Storage:</w:t>
      </w:r>
      <w:r>
        <w:t xml:space="preserve"> </w:t>
      </w:r>
      <w:r>
        <w:t xml:space="preserve">Data must be stored on encrypted servers located within the Philippines to comply with data localization requirements.</w:t>
      </w:r>
    </w:p>
    <w:p>
      <w:pPr>
        <w:numPr>
          <w:ilvl w:val="0"/>
          <w:numId w:val="1005"/>
        </w:numPr>
        <w:pStyle w:val="Compact"/>
      </w:pPr>
      <w:r>
        <w:rPr>
          <w:bCs/>
          <w:b/>
        </w:rPr>
        <w:t xml:space="preserve">Backup:</w:t>
      </w:r>
      <w:r>
        <w:t xml:space="preserve"> </w:t>
      </w:r>
      <w:r>
        <w:t xml:space="preserve">Implement a daily backup routine to prevent data loss due to hardware failure or natural disasters.</w:t>
      </w:r>
    </w:p>
    <w:p>
      <w:pPr>
        <w:numPr>
          <w:ilvl w:val="0"/>
          <w:numId w:val="1005"/>
        </w:numPr>
        <w:pStyle w:val="Compact"/>
      </w:pPr>
      <w:r>
        <w:rPr>
          <w:bCs/>
          <w:b/>
        </w:rPr>
        <w:t xml:space="preserve">Analysis:</w:t>
      </w:r>
      <w:r>
        <w:t xml:space="preserve"> </w:t>
      </w:r>
      <w:r>
        <w:t xml:space="preserve">Use validated statistical methods. The Biomedical Engineer must document all algorithms and processing steps used to analyze the raw data.</w:t>
      </w:r>
    </w:p>
    <w:p>
      <w:pPr>
        <w:pStyle w:val="FirstParagraph"/>
      </w:pPr>
      <w:r>
        <w:t xml:space="preserve">7. Safety and Emergency Procedures</w:t>
      </w:r>
    </w:p>
    <w:p>
      <w:pPr>
        <w:pStyle w:val="BodyText"/>
      </w:pPr>
      <w:r>
        <w:t xml:space="preserve">Safety is paramount. The following emergency protocols must be in place:</w:t>
      </w:r>
    </w:p>
    <w:p>
      <w:pPr>
        <w:numPr>
          <w:ilvl w:val="0"/>
          <w:numId w:val="1006"/>
        </w:numPr>
        <w:pStyle w:val="Compact"/>
      </w:pPr>
      <w:r>
        <w:rPr>
          <w:bCs/>
          <w:b/>
        </w:rPr>
        <w:t xml:space="preserve">Electrical Safety:</w:t>
      </w:r>
      <w:r>
        <w:t xml:space="preserve"> </w:t>
      </w:r>
      <w:r>
        <w:t xml:space="preserve">All equipment must be grounded. Emergency stop buttons must be accessible within arm's reach of the subject.</w:t>
      </w:r>
    </w:p>
    <w:p>
      <w:pPr>
        <w:numPr>
          <w:ilvl w:val="0"/>
          <w:numId w:val="1006"/>
        </w:numPr>
        <w:pStyle w:val="Compact"/>
      </w:pPr>
      <w:r>
        <w:rPr>
          <w:bCs/>
          <w:b/>
        </w:rPr>
        <w:t xml:space="preserve">Medical Emergency:</w:t>
      </w:r>
      <w:r>
        <w:t xml:space="preserve"> </w:t>
      </w:r>
      <w:r>
        <w:t xml:space="preserve">A qualified medical professional must be present or immediately available during experiments involving human subjects. First aid kits and defibrillators must be accessible.</w:t>
      </w:r>
    </w:p>
    <w:p>
      <w:pPr>
        <w:numPr>
          <w:ilvl w:val="0"/>
          <w:numId w:val="1006"/>
        </w:numPr>
        <w:pStyle w:val="Compact"/>
      </w:pPr>
      <w:r>
        <w:rPr>
          <w:bCs/>
          <w:b/>
        </w:rPr>
        <w:t xml:space="preserve">Fire Safety:</w:t>
      </w:r>
      <w:r>
        <w:t xml:space="preserve"> </w:t>
      </w:r>
      <w:r>
        <w:t xml:space="preserve">The laboratory must comply with the Bureau of Fire Protection (BFP) Manila standards. Fire extinguishers suitable for electrical fires (Class C) must be available.</w:t>
      </w:r>
    </w:p>
    <w:p>
      <w:pPr>
        <w:pStyle w:val="FirstParagraph"/>
      </w:pPr>
      <w:r>
        <w:t xml:space="preserve">8. Reporting and Documentation</w:t>
      </w:r>
    </w:p>
    <w:p>
      <w:pPr>
        <w:pStyle w:val="BodyText"/>
      </w:pPr>
      <w:r>
        <w:t xml:space="preserve">Upon completion of the experiment, the Biomedical Engineer must submit a comprehensive report detailing:</w:t>
      </w:r>
    </w:p>
    <w:p>
      <w:pPr>
        <w:numPr>
          <w:ilvl w:val="0"/>
          <w:numId w:val="1007"/>
        </w:numPr>
        <w:pStyle w:val="Compact"/>
      </w:pPr>
      <w:r>
        <w:t xml:space="preserve">Objectives and methodology.</w:t>
      </w:r>
    </w:p>
    <w:p>
      <w:pPr>
        <w:numPr>
          <w:ilvl w:val="0"/>
          <w:numId w:val="1007"/>
        </w:numPr>
        <w:pStyle w:val="Compact"/>
      </w:pPr>
      <w:r>
        <w:t xml:space="preserve">Results and statistical analysis.</w:t>
      </w:r>
    </w:p>
    <w:p>
      <w:pPr>
        <w:numPr>
          <w:ilvl w:val="0"/>
          <w:numId w:val="1007"/>
        </w:numPr>
        <w:pStyle w:val="Compact"/>
      </w:pPr>
      <w:r>
        <w:t xml:space="preserve">Any adverse events or deviations from the protocol.</w:t>
      </w:r>
    </w:p>
    <w:p>
      <w:pPr>
        <w:numPr>
          <w:ilvl w:val="0"/>
          <w:numId w:val="1007"/>
        </w:numPr>
        <w:pStyle w:val="Compact"/>
      </w:pPr>
      <w:r>
        <w:t xml:space="preserve">Conclusions and recommendations for future research.</w:t>
      </w:r>
    </w:p>
    <w:p>
      <w:pPr>
        <w:pStyle w:val="FirstParagraph"/>
      </w:pPr>
      <w:r>
        <w:t xml:space="preserve">This report will be reviewed by the IRB and may be submitted to the FDA Philippines for regulatory clearance if the experiment involves a new medical device.</w:t>
      </w:r>
    </w:p>
    <w:p>
      <w:pPr>
        <w:pStyle w:val="BodyText"/>
      </w:pPr>
      <w:r>
        <w:rPr>
          <w:bCs/>
          <w:b/>
        </w:rPr>
        <w:t xml:space="preserve">Approved By:</w:t>
      </w:r>
      <w:r>
        <w:t xml:space="preserve"> </w:t>
      </w:r>
      <w:r>
        <w:t xml:space="preserve">[Name of Lead Biomedical Engineer]</w:t>
      </w:r>
    </w:p>
    <w:p>
      <w:pPr>
        <w:pStyle w:val="BodyText"/>
      </w:pPr>
      <w:r>
        <w:rPr>
          <w:bCs/>
          <w:b/>
        </w:rPr>
        <w:t xml:space="preserve">Institution:</w:t>
      </w:r>
      <w:r>
        <w:t xml:space="preserve"> </w:t>
      </w:r>
      <w:r>
        <w:t xml:space="preserve">[Name of University/Hospital in Manila]</w:t>
      </w:r>
    </w:p>
    <w:p>
      <w:pPr>
        <w:pStyle w:val="BodyText"/>
      </w:pPr>
      <w:r>
        <w:rPr>
          <w:bCs/>
          <w:b/>
        </w:rPr>
        <w:t xml:space="preserve">Contact:</w:t>
      </w:r>
      <w:r>
        <w:t xml:space="preserve"> </w:t>
      </w:r>
      <w:r>
        <w:t xml:space="preserve">[Email Address] | [Phone Number]</w:t>
      </w:r>
    </w:p>
    <w:p>
      <w:pPr>
        <w:pStyle w:val="BodyText"/>
      </w:pPr>
      <w:r>
        <w:rPr>
          <w:iCs/>
          <w:i/>
        </w:rPr>
        <w:t xml:space="preserve">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in Manila, Philippines</dc:title>
  <dc:creator/>
  <dc:language>en</dc:language>
  <cp:keywords/>
  <dcterms:created xsi:type="dcterms:W3CDTF">2026-10-10T01:40:00Z</dcterms:created>
  <dcterms:modified xsi:type="dcterms:W3CDTF">2026-10-10T01:40:00Z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