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Moscow,</w:t>
      </w:r>
      <w:r>
        <w:t xml:space="preserve"> </w:t>
      </w:r>
      <w:r>
        <w:t xml:space="preserve">Russia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Signal Integrity of Novel Neural Interfaces</w:t>
      </w:r>
    </w:p>
    <w:p>
      <w:pPr>
        <w:pStyle w:val="BodyText"/>
      </w:pPr>
      <w:r>
        <w:rPr>
          <w:bCs/>
          <w:b/>
        </w:rPr>
        <w:t xml:space="preserve">Location:</w:t>
      </w:r>
      <w:r>
        <w:t xml:space="preserve"> </w:t>
      </w:r>
      <w:r>
        <w:t xml:space="preserve">Moscow, Russia</w:t>
      </w:r>
    </w:p>
    <w:p>
      <w:pPr>
        <w:pStyle w:val="BodyText"/>
      </w:pPr>
      <w:r>
        <w:rPr>
          <w:bCs/>
          <w:b/>
        </w:rPr>
        <w:t xml:space="preserve">Principal Investigator:</w:t>
      </w:r>
      <w:r>
        <w:t xml:space="preserve"> </w:t>
      </w:r>
      <w:r>
        <w:t xml:space="preserve">Lead Biomedical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the testing and validation of a next-generation neural interface device. The research is conducted within the jurisdiction of Russia, specifically at the research facilities located in Moscow. As a Biomedical Engineer, the primary objective is to ensure that the device meets rigorous safety, efficacy, and regulatory standards before clinical application.</w:t>
      </w:r>
    </w:p>
    <w:p>
      <w:pPr>
        <w:pStyle w:val="BodyText"/>
      </w:pPr>
      <w:r>
        <w:t xml:space="preserve">The rapid advancement of neurotechnology in Moscow has positioned the city as a hub for medical innovation. This protocol adheres to the specific requirements set forth by the Ministry of Health of the Russian Federation and aligns with international Good Clinical Practice (GCP) guidelines. The Biomedical Engineer is responsible for overseeing the technical aspects of the experiment, ensuring data integrity, and maintaining the safety of all biological samples and test subjects involved.</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biocompatibility of the neural interface material using in vitro models.</w:t>
      </w:r>
    </w:p>
    <w:p>
      <w:pPr>
        <w:numPr>
          <w:ilvl w:val="0"/>
          <w:numId w:val="1001"/>
        </w:numPr>
        <w:pStyle w:val="Compact"/>
      </w:pPr>
      <w:r>
        <w:t xml:space="preserve">To evaluate the signal-to-noise ratio and long-term stability of the device under physiological conditions.</w:t>
      </w:r>
    </w:p>
    <w:p>
      <w:pPr>
        <w:numPr>
          <w:ilvl w:val="0"/>
          <w:numId w:val="1001"/>
        </w:numPr>
        <w:pStyle w:val="Compact"/>
      </w:pPr>
      <w:r>
        <w:t xml:space="preserve">To ensure compliance with Russian GOST standards for medical devices.</w:t>
      </w:r>
    </w:p>
    <w:p>
      <w:pPr>
        <w:numPr>
          <w:ilvl w:val="0"/>
          <w:numId w:val="1001"/>
        </w:numPr>
        <w:pStyle w:val="Compact"/>
      </w:pPr>
      <w:r>
        <w:t xml:space="preserve">To document all findings systematically for future regulatory submission in Russia.</w:t>
      </w:r>
    </w:p>
    <w:bookmarkEnd w:id="22"/>
    <w:bookmarkStart w:id="26" w:name="scope-and-methodology"/>
    <w:p>
      <w:pPr>
        <w:pStyle w:val="Heading2"/>
      </w:pPr>
      <w:r>
        <w:t xml:space="preserve">3. Scope and Methodology</w:t>
      </w:r>
    </w:p>
    <w:p>
      <w:pPr>
        <w:pStyle w:val="FirstParagraph"/>
      </w:pPr>
      <w:r>
        <w:t xml:space="preserve">The scope of this experiment is limited to pre-clinical testing phases. The Biomedical Engineer will utilize advanced laboratory equipment available at the Moscow research center. The methodology involves a multi-stage approach:</w:t>
      </w:r>
    </w:p>
    <w:bookmarkStart w:id="23" w:name="material-preparation"/>
    <w:p>
      <w:pPr>
        <w:pStyle w:val="Heading3"/>
      </w:pPr>
      <w:r>
        <w:t xml:space="preserve">3.1 Material Preparation</w:t>
      </w:r>
    </w:p>
    <w:p>
      <w:pPr>
        <w:pStyle w:val="FirstParagraph"/>
      </w:pPr>
      <w:r>
        <w:t xml:space="preserve">All materials will be sourced from certified suppliers within the European Economic Area or Russia. The Biomedical Engineer must verify the purity and composition of all polymers and conductive materials used in the device construction.</w:t>
      </w:r>
    </w:p>
    <w:bookmarkEnd w:id="23"/>
    <w:bookmarkStart w:id="24" w:name="in-vitro-testing"/>
    <w:p>
      <w:pPr>
        <w:pStyle w:val="Heading3"/>
      </w:pPr>
      <w:r>
        <w:t xml:space="preserve">3.2 In Vitro Testing</w:t>
      </w:r>
    </w:p>
    <w:p>
      <w:pPr>
        <w:pStyle w:val="FirstParagraph"/>
      </w:pPr>
      <w:r>
        <w:t xml:space="preserve">Cell cultures will be exposed to the device materials to monitor cytotoxicity. This phase is critical for determining the safety profile of the device. The Biomedical Engineer will oversee the incubation conditions, ensuring they mimic the physiological environment of the human body.</w:t>
      </w:r>
    </w:p>
    <w:bookmarkEnd w:id="24"/>
    <w:bookmarkStart w:id="25" w:name="signal-analysis"/>
    <w:p>
      <w:pPr>
        <w:pStyle w:val="Heading3"/>
      </w:pPr>
      <w:r>
        <w:t xml:space="preserve">3.3 Signal Analysis</w:t>
      </w:r>
    </w:p>
    <w:p>
      <w:pPr>
        <w:pStyle w:val="FirstParagraph"/>
      </w:pPr>
      <w:r>
        <w:t xml:space="preserve">Using specialized electrophysiology equipment, the Biomedical Engineer will record neural signals. Data will be analyzed for artifacts, latency, and amplitude fidelity. This step is essential for validating the device's functionality in a controlled environment.</w:t>
      </w:r>
    </w:p>
    <w:bookmarkEnd w:id="25"/>
    <w:bookmarkEnd w:id="26"/>
    <w:bookmarkStart w:id="27" w:name="regulatory-compliance-and-ethics"/>
    <w:p>
      <w:pPr>
        <w:pStyle w:val="Heading2"/>
      </w:pPr>
      <w:r>
        <w:t xml:space="preserve">4. Regulatory Compliance and Ethics</w:t>
      </w:r>
    </w:p>
    <w:p>
      <w:pPr>
        <w:pStyle w:val="FirstParagraph"/>
      </w:pPr>
      <w:r>
        <w:t xml:space="preserve">Conducting biomedical research in Moscow requires strict adherence to local laws and ethical guidelines. This Experiment Protocol has been reviewed and approved by the Institutional Review Board (IRB) of the host institution in Russia.</w:t>
      </w:r>
    </w:p>
    <w:p>
      <w:pPr>
        <w:pStyle w:val="BodyText"/>
      </w:pPr>
      <w:r>
        <w:t xml:space="preserve">The Biomedical Engineer must ensure that all procedures comply with the Federal Law "On Protection of the Rights and Interests of Patients" and the regulations regarding the use of biological materials. Any deviation from this protocol must be reported immediately to the ethics committee. Furthermore, all data collected must be stored securely in accordance with Russian data protection laws.</w:t>
      </w:r>
    </w:p>
    <w:bookmarkEnd w:id="27"/>
    <w:bookmarkStart w:id="28" w:name="roles-and-responsibilities"/>
    <w:p>
      <w:pPr>
        <w:pStyle w:val="Heading2"/>
      </w:pPr>
      <w:r>
        <w:t xml:space="preserve">5. Roles and Responsibilities</w:t>
      </w:r>
    </w:p>
    <w:p>
      <w:pPr>
        <w:pStyle w:val="FirstParagraph"/>
      </w:pPr>
      <w:r>
        <w:t xml:space="preserve">The Lead Biomedical Engineer is responsible for the overall execution of this protocol. Specific duties include:</w:t>
      </w:r>
    </w:p>
    <w:p>
      <w:pPr>
        <w:numPr>
          <w:ilvl w:val="0"/>
          <w:numId w:val="1002"/>
        </w:numPr>
        <w:pStyle w:val="Compact"/>
      </w:pPr>
      <w:r>
        <w:t xml:space="preserve">Calibrating all measurement instruments prior to each experimental session.</w:t>
      </w:r>
    </w:p>
    <w:p>
      <w:pPr>
        <w:numPr>
          <w:ilvl w:val="0"/>
          <w:numId w:val="1002"/>
        </w:numPr>
        <w:pStyle w:val="Compact"/>
      </w:pPr>
      <w:r>
        <w:t xml:space="preserve">Training laboratory staff on safety procedures and equipment usage.</w:t>
      </w:r>
    </w:p>
    <w:p>
      <w:pPr>
        <w:numPr>
          <w:ilvl w:val="0"/>
          <w:numId w:val="1002"/>
        </w:numPr>
        <w:pStyle w:val="Compact"/>
      </w:pPr>
      <w:r>
        <w:t xml:space="preserve">Maintaining detailed logs of all experimental parameters and observations.</w:t>
      </w:r>
    </w:p>
    <w:p>
      <w:pPr>
        <w:numPr>
          <w:ilvl w:val="0"/>
          <w:numId w:val="1002"/>
        </w:numPr>
        <w:pStyle w:val="Compact"/>
      </w:pPr>
      <w:r>
        <w:t xml:space="preserve">Coordinating with regulatory bodies in Moscow for periodic inspections.</w:t>
      </w:r>
    </w:p>
    <w:p>
      <w:pPr>
        <w:pStyle w:val="FirstParagraph"/>
      </w:pPr>
      <w:r>
        <w:t xml:space="preserve">Assistant engineers and technicians will support the Lead Biomedical Engineer in sample preparation and data collection. All team members must be familiar with the contents of this Experiment Protocol.</w:t>
      </w:r>
    </w:p>
    <w:bookmarkEnd w:id="28"/>
    <w:bookmarkStart w:id="29" w:name="safety-procedures"/>
    <w:p>
      <w:pPr>
        <w:pStyle w:val="Heading2"/>
      </w:pPr>
      <w:r>
        <w:t xml:space="preserve">6. Safety Procedures</w:t>
      </w:r>
    </w:p>
    <w:p>
      <w:pPr>
        <w:pStyle w:val="FirstParagraph"/>
      </w:pPr>
      <w:r>
        <w:t xml:space="preserve">Safety is paramount in any biomedical engineering experiment. The laboratory in Moscow is equipped with biosafety level 2 (BSL-2) containment. The Biomedical Engineer must enforce the following safety measures:</w:t>
      </w:r>
    </w:p>
    <w:p>
      <w:pPr>
        <w:numPr>
          <w:ilvl w:val="0"/>
          <w:numId w:val="1003"/>
        </w:numPr>
        <w:pStyle w:val="Compact"/>
      </w:pPr>
      <w:r>
        <w:t xml:space="preserve">Use of personal protective equipment (PPE) at all times.</w:t>
      </w:r>
    </w:p>
    <w:p>
      <w:pPr>
        <w:numPr>
          <w:ilvl w:val="0"/>
          <w:numId w:val="1003"/>
        </w:numPr>
        <w:pStyle w:val="Compact"/>
      </w:pPr>
      <w:r>
        <w:t xml:space="preserve">Proper disposal of biological waste according to Russian environmental regulations.</w:t>
      </w:r>
    </w:p>
    <w:p>
      <w:pPr>
        <w:numPr>
          <w:ilvl w:val="0"/>
          <w:numId w:val="1003"/>
        </w:numPr>
        <w:pStyle w:val="Compact"/>
      </w:pPr>
      <w:r>
        <w:t xml:space="preserve">Regular maintenance of electrical equipment to prevent hazards.</w:t>
      </w:r>
    </w:p>
    <w:p>
      <w:pPr>
        <w:numPr>
          <w:ilvl w:val="0"/>
          <w:numId w:val="1003"/>
        </w:numPr>
        <w:pStyle w:val="Compact"/>
      </w:pPr>
      <w:r>
        <w:t xml:space="preserve">Immediate reporting of any accidents or adverse events.</w:t>
      </w:r>
    </w:p>
    <w:bookmarkEnd w:id="29"/>
    <w:bookmarkStart w:id="30" w:name="data-management-and-reporting"/>
    <w:p>
      <w:pPr>
        <w:pStyle w:val="Heading2"/>
      </w:pPr>
      <w:r>
        <w:t xml:space="preserve">7. Data Management and Reporting</w:t>
      </w:r>
    </w:p>
    <w:p>
      <w:pPr>
        <w:pStyle w:val="FirstParagraph"/>
      </w:pPr>
      <w:r>
        <w:t xml:space="preserve">All data generated during this experiment will be recorded in a centralized database. The Biomedical Engineer is responsible for ensuring the accuracy and completeness of the data. Regular reports will be submitted to the project stakeholders and regulatory authorities in Russia.</w:t>
      </w:r>
    </w:p>
    <w:p>
      <w:pPr>
        <w:pStyle w:val="BodyText"/>
      </w:pPr>
      <w:r>
        <w:t xml:space="preserve">Upon completion of the experiment, a comprehensive report will be prepared. This report will include a summary of the methods, results, and conclusions, as well as recommendations for future research. The report will be written in both English and Russian to facilitate communication with international partners and local regulators.</w:t>
      </w:r>
    </w:p>
    <w:bookmarkEnd w:id="30"/>
    <w:bookmarkStart w:id="31" w:name="conclusion"/>
    <w:p>
      <w:pPr>
        <w:pStyle w:val="Heading2"/>
      </w:pPr>
      <w:r>
        <w:t xml:space="preserve">8. Conclusion</w:t>
      </w:r>
    </w:p>
    <w:p>
      <w:pPr>
        <w:pStyle w:val="FirstParagraph"/>
      </w:pPr>
      <w:r>
        <w:t xml:space="preserve">This Experiment Protocol provides a detailed framework for the evaluation of a novel neural interface device. By adhering to these guidelines, the Biomedical Engineer ensures that the research conducted in Moscow, Russia, meets the highest standards of scientific rigor and regulatory compliance. The successful completion of this experiment will pave the way for further clinical trials and potential commercialization of the device.</w:t>
      </w:r>
    </w:p>
    <w:bookmarkEnd w:id="31"/>
    <w:p>
      <w:pPr>
        <w:pStyle w:val="BodyText"/>
      </w:pPr>
      <w:r>
        <w:rPr>
          <w:bCs/>
          <w:b/>
        </w:rPr>
        <w:t xml:space="preserve">Lead Biomedical Engineer:</w:t>
      </w:r>
    </w:p>
    <w:p>
      <w:pPr>
        <w:pStyle w:val="BodyText"/>
      </w:pPr>
      <w:r>
        <w:t xml:space="preserve">Signature</w:t>
      </w:r>
    </w:p>
    <w:p>
      <w:pPr>
        <w:pStyle w:val="BodyText"/>
      </w:pPr>
      <w:r>
        <w:t xml:space="preserve">Date: _______________</w:t>
      </w:r>
    </w:p>
    <w:p>
      <w:pPr>
        <w:pStyle w:val="BodyText"/>
      </w:pPr>
      <w:r>
        <w:rPr>
          <w:bCs/>
          <w:b/>
        </w:rPr>
        <w:t xml:space="preserve">Ethics Committee Chair:</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Moscow, Russia</dc:title>
  <dc:creator/>
  <dc:language>en</dc:language>
  <cp:keywords/>
  <dcterms:created xsi:type="dcterms:W3CDTF">2026-10-10T01:15:00Z</dcterms:created>
  <dcterms:modified xsi:type="dcterms:W3CDTF">2026-10-10T01:15:00Z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