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Biocompatibility and Signal Integrity in Next-Generation Neural Interfaces</w:t>
      </w:r>
    </w:p>
    <w:p>
      <w:pPr>
        <w:pStyle w:val="BodyText"/>
      </w:pPr>
      <w:r>
        <w:rPr>
          <w:bCs/>
          <w:b/>
        </w:rPr>
        <w:t xml:space="preserve">Location:</w:t>
      </w:r>
      <w:r>
        <w:t xml:space="preserve"> </w:t>
      </w:r>
      <w:r>
        <w:t xml:space="preserve">Saint Petersburg, Russia</w:t>
      </w:r>
    </w:p>
    <w:p>
      <w:pPr>
        <w:pStyle w:val="BodyText"/>
      </w:pPr>
      <w:r>
        <w:rPr>
          <w:bCs/>
          <w:b/>
        </w:rPr>
        <w:t xml:space="preserve">Principal Investigator:</w:t>
      </w:r>
      <w:r>
        <w:t xml:space="preserve"> </w:t>
      </w:r>
      <w:r>
        <w:t xml:space="preserve">Lead Biomedical Engineer</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rigorous procedures required for the testing and validation of a novel neural interface device. The research is conducted within the jurisdiction of Saint Petersburg, Russia, leveraging the city's rich history in scientific innovation and its status as a hub for advanced medical technology. The primary objective is to assess the long-term biocompatibility and electrical signal fidelity of the device when interfaced with biological tissue.</w:t>
      </w:r>
    </w:p>
    <w:p>
      <w:pPr>
        <w:pStyle w:val="BodyText"/>
      </w:pPr>
      <w:r>
        <w:t xml:space="preserve">The role of the Biomedical Engineer in this study is critical. As the technical lead, the Biomedical Engineer is responsible for ensuring that the device meets all safety standards, performs according to design specifications, and adheres to the ethical guidelines mandated by Russian federal law. This protocol serves as the definitive guide for all personnel involved in the experimental phase.</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cytotoxicity of the neural interface materials using standardized in vitro assays.</w:t>
      </w:r>
    </w:p>
    <w:p>
      <w:pPr>
        <w:numPr>
          <w:ilvl w:val="0"/>
          <w:numId w:val="1001"/>
        </w:numPr>
        <w:pStyle w:val="Compact"/>
      </w:pPr>
      <w:r>
        <w:t xml:space="preserve">To measure the impedance and signal-to-noise ratio of the electrodes over a 30-day period.</w:t>
      </w:r>
    </w:p>
    <w:p>
      <w:pPr>
        <w:numPr>
          <w:ilvl w:val="0"/>
          <w:numId w:val="1001"/>
        </w:numPr>
        <w:pStyle w:val="Compact"/>
      </w:pPr>
      <w:r>
        <w:t xml:space="preserve">To ensure compliance with GOST standards relevant to medical devices in Russia.</w:t>
      </w:r>
    </w:p>
    <w:p>
      <w:pPr>
        <w:numPr>
          <w:ilvl w:val="0"/>
          <w:numId w:val="1001"/>
        </w:numPr>
        <w:pStyle w:val="Compact"/>
      </w:pPr>
      <w:r>
        <w:t xml:space="preserve">To document any adverse reactions or device failures in accordance with international biomedical engineering best practices.</w:t>
      </w:r>
    </w:p>
    <w:bookmarkEnd w:id="22"/>
    <w:bookmarkStart w:id="23" w:name="regulatory-compliance-and-ethics"/>
    <w:p>
      <w:pPr>
        <w:pStyle w:val="Heading2"/>
      </w:pPr>
      <w:r>
        <w:t xml:space="preserve">3. Regulatory Compliance and Ethics</w:t>
      </w:r>
    </w:p>
    <w:p>
      <w:pPr>
        <w:pStyle w:val="FirstParagraph"/>
      </w:pPr>
      <w:r>
        <w:t xml:space="preserve">All procedures described in this Experiment Protocol must be conducted in strict adherence to the regulations set forth by the Ministry of Health of the Russian Federation. The study has received approval from the local Ethics Committee in Saint Petersburg. The Biomedical Engineer must ensure that all data collection methods respect patient privacy and confidentiality as required by Federal Law No. 152-FZ "On Personal Data."</w:t>
      </w:r>
    </w:p>
    <w:p>
      <w:pPr>
        <w:pStyle w:val="BodyText"/>
      </w:pPr>
      <w:r>
        <w:t xml:space="preserve">Furthermore, the experimental setup must comply with the technical regulations of the Eurasian Economic Union (EAEU) regarding the safety and effectiveness of medical products. Any deviation from this protocol must be reported immediately to the Ethics Committee and documented in the study log.</w:t>
      </w:r>
    </w:p>
    <w:bookmarkEnd w:id="23"/>
    <w:bookmarkStart w:id="24" w:name="materials-and-equipment"/>
    <w:p>
      <w:pPr>
        <w:pStyle w:val="Heading2"/>
      </w:pPr>
      <w:r>
        <w:t xml:space="preserve">4. Materials and Equipment</w:t>
      </w:r>
    </w:p>
    <w:p>
      <w:pPr>
        <w:pStyle w:val="FirstParagraph"/>
      </w:pPr>
      <w:r>
        <w:t xml:space="preserve">The following materials and equipment will be utilized in this study:</w:t>
      </w:r>
    </w:p>
    <w:p>
      <w:pPr>
        <w:numPr>
          <w:ilvl w:val="0"/>
          <w:numId w:val="1002"/>
        </w:numPr>
        <w:pStyle w:val="Compact"/>
      </w:pPr>
      <w:r>
        <w:t xml:space="preserve">Prototype Neural Interface Devices (Batch #SPB-2023-01).</w:t>
      </w:r>
    </w:p>
    <w:p>
      <w:pPr>
        <w:numPr>
          <w:ilvl w:val="0"/>
          <w:numId w:val="1002"/>
        </w:numPr>
        <w:pStyle w:val="Compact"/>
      </w:pPr>
      <w:r>
        <w:t xml:space="preserve">High-resolution impedance analyzer.</w:t>
      </w:r>
    </w:p>
    <w:p>
      <w:pPr>
        <w:numPr>
          <w:ilvl w:val="0"/>
          <w:numId w:val="1002"/>
        </w:numPr>
        <w:pStyle w:val="Compact"/>
      </w:pPr>
      <w:r>
        <w:t xml:space="preserve">Cell culture media and reagents sourced from certified suppliers in Saint Petersburg.</w:t>
      </w:r>
    </w:p>
    <w:p>
      <w:pPr>
        <w:numPr>
          <w:ilvl w:val="0"/>
          <w:numId w:val="1002"/>
        </w:numPr>
        <w:pStyle w:val="Compact"/>
      </w:pPr>
      <w:r>
        <w:t xml:space="preserve">Microscope with digital imaging capabilities.</w:t>
      </w:r>
    </w:p>
    <w:p>
      <w:pPr>
        <w:numPr>
          <w:ilvl w:val="0"/>
          <w:numId w:val="1002"/>
        </w:numPr>
        <w:pStyle w:val="Compact"/>
      </w:pPr>
      <w:r>
        <w:t xml:space="preserve">Data acquisition system for recording electrical signals.</w:t>
      </w:r>
    </w:p>
    <w:p>
      <w:pPr>
        <w:pStyle w:val="FirstParagraph"/>
      </w:pPr>
      <w:r>
        <w:t xml:space="preserve">All equipment must be calibrated prior to the start of the experiment. The Biomedical Engineer is responsible for verifying calibration certificates and ensuring that all instruments are functioning within specified parameters.</w:t>
      </w:r>
    </w:p>
    <w:bookmarkEnd w:id="24"/>
    <w:bookmarkStart w:id="28" w:name="methodology"/>
    <w:p>
      <w:pPr>
        <w:pStyle w:val="Heading2"/>
      </w:pPr>
      <w:r>
        <w:t xml:space="preserve">5. Methodology</w:t>
      </w:r>
    </w:p>
    <w:bookmarkStart w:id="25" w:name="in-vitro-biocompatibility-testing"/>
    <w:p>
      <w:pPr>
        <w:pStyle w:val="Heading3"/>
      </w:pPr>
      <w:r>
        <w:t xml:space="preserve">5.1 In Vitro Biocompatibility Testing</w:t>
      </w:r>
    </w:p>
    <w:p>
      <w:pPr>
        <w:pStyle w:val="FirstParagraph"/>
      </w:pPr>
      <w:r>
        <w:t xml:space="preserve">The first phase of the experiment involves in vitro testing to assess the biocompatibility of the device materials. Cell cultures will be exposed to extracts from the neural interface components. The Biomedical Engineer will monitor cell viability using the MTT assay method. Samples will be taken at 24, 48, and 72 hours post-exposure. Results will be compared against control groups to determine any cytotoxic effects.</w:t>
      </w:r>
    </w:p>
    <w:bookmarkEnd w:id="25"/>
    <w:bookmarkStart w:id="26" w:name="electrical-performance-testing"/>
    <w:p>
      <w:pPr>
        <w:pStyle w:val="Heading3"/>
      </w:pPr>
      <w:r>
        <w:t xml:space="preserve">5.2 Electrical Performance Testing</w:t>
      </w:r>
    </w:p>
    <w:p>
      <w:pPr>
        <w:pStyle w:val="FirstParagraph"/>
      </w:pPr>
      <w:r>
        <w:t xml:space="preserve">In the second phase, the electrical performance of the neural interface will be evaluated. The device will be submerged in a simulated body fluid to mimic physiological conditions. The Biomedical Engineer will use the impedance analyzer to measure the impedance of the electrodes at various frequencies. Additionally, the signal-to-noise ratio will be assessed by recording background noise levels and comparing them to known signal inputs.</w:t>
      </w:r>
    </w:p>
    <w:bookmarkEnd w:id="26"/>
    <w:bookmarkStart w:id="27" w:name="data-collection-and-analysis"/>
    <w:p>
      <w:pPr>
        <w:pStyle w:val="Heading3"/>
      </w:pPr>
      <w:r>
        <w:t xml:space="preserve">5.3 Data Collection and Analysis</w:t>
      </w:r>
    </w:p>
    <w:p>
      <w:pPr>
        <w:pStyle w:val="FirstParagraph"/>
      </w:pPr>
      <w:r>
        <w:t xml:space="preserve">All data collected during the experiment will be recorded in a secure database located on the university server in Saint Petersburg. The Biomedical Engineer will perform statistical analysis using appropriate software tools. Data will be analyzed for trends, outliers, and significant differences between experimental and control groups.</w:t>
      </w:r>
    </w:p>
    <w:bookmarkEnd w:id="27"/>
    <w:bookmarkEnd w:id="28"/>
    <w:bookmarkStart w:id="29" w:name="safety-procedures"/>
    <w:p>
      <w:pPr>
        <w:pStyle w:val="Heading2"/>
      </w:pPr>
      <w:r>
        <w:t xml:space="preserve">6. Safety Procedures</w:t>
      </w:r>
    </w:p>
    <w:p>
      <w:pPr>
        <w:pStyle w:val="FirstParagraph"/>
      </w:pPr>
      <w:r>
        <w:t xml:space="preserve">Safety is paramount in this Experiment Protocol. All personnel must wear appropriate personal protective equipment (PPE), including lab coats, gloves, and safety goggles. In the event of a spill or accident, standard laboratory safety procedures must be followed. The Biomedical Engineer is responsible for conducting regular safety inspections and ensuring that all personnel are trained in emergency response protocols.</w:t>
      </w:r>
    </w:p>
    <w:p>
      <w:pPr>
        <w:pStyle w:val="BodyText"/>
      </w:pPr>
      <w:r>
        <w:t xml:space="preserve">Special attention must be paid to the handling of biological materials. All waste must be disposed of according to the regulations set by the local health authorities in Saint Petersburg. The laboratory must be maintained at a controlled temperature and humidity to ensure the integrity of the experiments.</w:t>
      </w:r>
    </w:p>
    <w:bookmarkEnd w:id="29"/>
    <w:bookmarkStart w:id="30" w:name="roles-and-responsibilities"/>
    <w:p>
      <w:pPr>
        <w:pStyle w:val="Heading2"/>
      </w:pPr>
      <w:r>
        <w:t xml:space="preserve">7. Roles and Responsibilities</w:t>
      </w:r>
    </w:p>
    <w:p>
      <w:pPr>
        <w:pStyle w:val="FirstParagraph"/>
      </w:pPr>
      <w:r>
        <w:t xml:space="preserve">The Biomedical Engineer serves as the primary point of contact for all technical aspects of the study. Responsibilities include:</w:t>
      </w:r>
    </w:p>
    <w:p>
      <w:pPr>
        <w:numPr>
          <w:ilvl w:val="0"/>
          <w:numId w:val="1003"/>
        </w:numPr>
        <w:pStyle w:val="Compact"/>
      </w:pPr>
      <w:r>
        <w:t xml:space="preserve">Designing and implementing the experimental setup.</w:t>
      </w:r>
    </w:p>
    <w:p>
      <w:pPr>
        <w:numPr>
          <w:ilvl w:val="0"/>
          <w:numId w:val="1003"/>
        </w:numPr>
        <w:pStyle w:val="Compact"/>
      </w:pPr>
      <w:r>
        <w:t xml:space="preserve">Training laboratory staff on the use of specialized equipment.</w:t>
      </w:r>
    </w:p>
    <w:p>
      <w:pPr>
        <w:numPr>
          <w:ilvl w:val="0"/>
          <w:numId w:val="1003"/>
        </w:numPr>
        <w:pStyle w:val="Compact"/>
      </w:pPr>
      <w:r>
        <w:t xml:space="preserve">Monitoring the progress of the experiment and troubleshooting any issues.</w:t>
      </w:r>
    </w:p>
    <w:p>
      <w:pPr>
        <w:numPr>
          <w:ilvl w:val="0"/>
          <w:numId w:val="1003"/>
        </w:numPr>
        <w:pStyle w:val="Compact"/>
      </w:pPr>
      <w:r>
        <w:t xml:space="preserve">Preparing reports and presenting findings to the research team and regulatory bodies.</w:t>
      </w:r>
    </w:p>
    <w:p>
      <w:pPr>
        <w:pStyle w:val="FirstParagraph"/>
      </w:pPr>
      <w:r>
        <w:t xml:space="preserve">Other team members, including biologists and data analysts, will collaborate with the Biomedical Engineer to ensure the successful completion of the study.</w:t>
      </w:r>
    </w:p>
    <w:bookmarkEnd w:id="30"/>
    <w:bookmarkStart w:id="31" w:name="conclusion"/>
    <w:p>
      <w:pPr>
        <w:pStyle w:val="Heading2"/>
      </w:pPr>
      <w:r>
        <w:t xml:space="preserve">8. Conclusion</w:t>
      </w:r>
    </w:p>
    <w:p>
      <w:pPr>
        <w:pStyle w:val="FirstParagraph"/>
      </w:pPr>
      <w:r>
        <w:t xml:space="preserve">This Experiment Protocol provides a comprehensive framework for the evaluation of a novel neural interface device. By adhering to the procedures outlined herein, the Biomedical Engineer and the research team in Saint Petersburg, Russia, will ensure that the study is conducted with the highest standards of scientific rigor, safety, and ethical integrity. The results of this experiment will contribute valuable insights to the field of biomedical engineering and pave the way for future advancements in neural interface technology.</w:t>
      </w:r>
    </w:p>
    <w:bookmarkEnd w:id="31"/>
    <w:p>
      <w:pPr>
        <w:pStyle w:val="BodyText"/>
      </w:pPr>
      <w:r>
        <w:rPr>
          <w:bCs/>
          <w:b/>
        </w:rPr>
        <w:t xml:space="preserve">Principal Investigator:</w:t>
      </w:r>
    </w:p>
    <w:p>
      <w:pPr>
        <w:pStyle w:val="BodyText"/>
      </w:pPr>
      <w:r>
        <w:t xml:space="preserve">Signature</w:t>
      </w:r>
    </w:p>
    <w:p>
      <w:pPr>
        <w:pStyle w:val="BodyText"/>
      </w:pPr>
      <w:r>
        <w:t xml:space="preserve">Name: Dr. Ivan Petrov</w:t>
      </w:r>
    </w:p>
    <w:p>
      <w:pPr>
        <w:pStyle w:val="BodyText"/>
      </w:pPr>
      <w:r>
        <w:t xml:space="preserve">Title: Lead Biomedical Engineer</w:t>
      </w:r>
    </w:p>
    <w:p>
      <w:pPr>
        <w:pStyle w:val="BodyText"/>
      </w:pPr>
      <w:r>
        <w:rPr>
          <w:bCs/>
          <w:b/>
        </w:rPr>
        <w:t xml:space="preserve">Ethics Committee Representative:</w:t>
      </w:r>
    </w:p>
    <w:p>
      <w:pPr>
        <w:pStyle w:val="BodyText"/>
      </w:pPr>
      <w:r>
        <w:t xml:space="preserve">Signature</w:t>
      </w:r>
    </w:p>
    <w:p>
      <w:pPr>
        <w:pStyle w:val="BodyText"/>
      </w:pPr>
      <w:r>
        <w:t xml:space="preserve">Name: Dr. Elena Sokolova</w:t>
      </w:r>
    </w:p>
    <w:p>
      <w:pPr>
        <w:pStyle w:val="BodyText"/>
      </w:pPr>
      <w:r>
        <w:t xml:space="preserve">Title: Ethics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Saint Petersburg, Russia</dc:title>
  <dc:creator/>
  <dc:language>en</dc:language>
  <cp:keywords/>
  <dcterms:created xsi:type="dcterms:W3CDTF">2026-10-10T05:50:27Z</dcterms:created>
  <dcterms:modified xsi:type="dcterms:W3CDTF">2026-10-10T05:50:27Z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