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Jeddah</w:t>
      </w:r>
    </w:p>
    <w:bookmarkStart w:id="34" w:name="X0db5ac79884174d3e4fe00583894b98cba18d19"/>
    <w:p>
      <w:pPr>
        <w:pStyle w:val="Heading1"/>
      </w:pPr>
      <w:r>
        <w:t xml:space="preserve">Experiment Protocol: Biomedical Engineering Research</w:t>
      </w:r>
    </w:p>
    <w:p>
      <w:pPr>
        <w:pStyle w:val="FirstParagraph"/>
      </w:pPr>
      <w:r>
        <w:rPr>
          <w:bCs/>
          <w:b/>
        </w:rPr>
        <w:t xml:space="preserve">Protocol Title:</w:t>
      </w:r>
      <w:r>
        <w:t xml:space="preserve"> </w:t>
      </w:r>
      <w:r>
        <w:t xml:space="preserve">Evaluation of Biocompatibility and Performance of Novel Biomaterials for Orthopedic Implants</w:t>
      </w:r>
    </w:p>
    <w:p>
      <w:pPr>
        <w:pStyle w:val="BodyText"/>
      </w:pPr>
      <w:r>
        <w:rPr>
          <w:bCs/>
          <w:b/>
        </w:rPr>
        <w:t xml:space="preserve">Location:</w:t>
      </w:r>
      <w:r>
        <w:t xml:space="preserve"> </w:t>
      </w:r>
      <w:r>
        <w:t xml:space="preserve">Jeddah, Saudi Arabia</w:t>
      </w:r>
    </w:p>
    <w:p>
      <w:pPr>
        <w:pStyle w:val="BodyText"/>
      </w:pPr>
      <w:r>
        <w:rPr>
          <w:bCs/>
          <w:b/>
        </w:rPr>
        <w:t xml:space="preserve">Lead Investigator:</w:t>
      </w:r>
      <w:r>
        <w:t xml:space="preserve"> </w:t>
      </w:r>
      <w:r>
        <w:t xml:space="preserve">Senior Biomedical Engineer</w:t>
      </w:r>
    </w:p>
    <w:p>
      <w:pPr>
        <w:pStyle w:val="BodyText"/>
      </w:pPr>
      <w:r>
        <w:rPr>
          <w:bCs/>
          <w:b/>
        </w:rPr>
        <w:t xml:space="preserve">Institution:</w:t>
      </w:r>
      <w:r>
        <w:t xml:space="preserve"> </w:t>
      </w:r>
      <w:r>
        <w:t xml:space="preserve">[Name of Research Center/Hospital in Jeddah]</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procedures for a biomedical engineering study conducted in Jeddah, Saudi Arabia. The research aims to evaluate the biocompatibility and mechanical performance of novel biomaterials intended for orthopedic implants. As a Biomedical Engineer, the primary objective is to ensure that these materials meet international standards while addressing specific healthcare needs within the region.</w:t>
      </w:r>
    </w:p>
    <w:p>
      <w:pPr>
        <w:pStyle w:val="BodyText"/>
      </w:pPr>
      <w:r>
        <w:t xml:space="preserve">Saudi Arabia is rapidly advancing its healthcare infrastructure, with Jeddah emerging as a hub for medical innovation. This study aligns with Vision 2030 goals to enhance local research capabilities and improve patient outcomes through advanced biomedical technologies.</w:t>
      </w:r>
    </w:p>
    <w:bookmarkEnd w:id="20"/>
    <w:bookmarkStart w:id="21" w:name="objectives"/>
    <w:p>
      <w:pPr>
        <w:pStyle w:val="Heading2"/>
      </w:pPr>
      <w:r>
        <w:t xml:space="preserve">2. Objectives</w:t>
      </w:r>
    </w:p>
    <w:p>
      <w:pPr>
        <w:numPr>
          <w:ilvl w:val="0"/>
          <w:numId w:val="1001"/>
        </w:numPr>
        <w:pStyle w:val="Compact"/>
      </w:pPr>
      <w:r>
        <w:t xml:space="preserve">To assess the biocompatibility of new biomaterials using in vitro and in vivo models.</w:t>
      </w:r>
    </w:p>
    <w:p>
      <w:pPr>
        <w:numPr>
          <w:ilvl w:val="0"/>
          <w:numId w:val="1001"/>
        </w:numPr>
        <w:pStyle w:val="Compact"/>
      </w:pPr>
      <w:r>
        <w:t xml:space="preserve">To evaluate the mechanical properties of the materials under simulated physiological conditions.</w:t>
      </w:r>
    </w:p>
    <w:p>
      <w:pPr>
        <w:numPr>
          <w:ilvl w:val="0"/>
          <w:numId w:val="1001"/>
        </w:numPr>
        <w:pStyle w:val="Compact"/>
      </w:pPr>
      <w:r>
        <w:t xml:space="preserve">To ensure compliance with regulatory standards set by the Saudi Food and Drug Authority (SFDA).</w:t>
      </w:r>
    </w:p>
    <w:p>
      <w:pPr>
        <w:numPr>
          <w:ilvl w:val="0"/>
          <w:numId w:val="1001"/>
        </w:numPr>
        <w:pStyle w:val="Compact"/>
      </w:pPr>
      <w:r>
        <w:t xml:space="preserve">To contribute to the development of locally relevant biomedical solutions in Jeddah.</w:t>
      </w:r>
    </w:p>
    <w:bookmarkEnd w:id="21"/>
    <w:bookmarkStart w:id="22" w:name="scope"/>
    <w:p>
      <w:pPr>
        <w:pStyle w:val="Heading2"/>
      </w:pPr>
      <w:r>
        <w:t xml:space="preserve">3. Scope</w:t>
      </w:r>
    </w:p>
    <w:p>
      <w:pPr>
        <w:pStyle w:val="FirstParagraph"/>
      </w:pPr>
      <w:r>
        <w:t xml:space="preserve">This protocol applies to all phases of the experiment, including material preparation, testing, data analysis, and reporting. It is designed for use by Biomedical Engineers and research staff working in accredited facilities in Jeddah, Saudi Arabia.</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Biomaterial Samples</w:t>
            </w:r>
          </w:p>
        </w:tc>
        <w:tc>
          <w:tcPr/>
          <w:p>
            <w:pPr>
              <w:pStyle w:val="Compact"/>
              <w:jc w:val="left"/>
            </w:pPr>
            <w:r>
              <w:t xml:space="preserve">Novel polymer-metal composites</w:t>
            </w:r>
          </w:p>
        </w:tc>
        <w:tc>
          <w:tcPr/>
          <w:p>
            <w:pPr>
              <w:pStyle w:val="Compact"/>
              <w:jc w:val="left"/>
            </w:pPr>
            <w:r>
              <w:t xml:space="preserve">50 units</w:t>
            </w:r>
          </w:p>
        </w:tc>
      </w:tr>
      <w:tr>
        <w:tc>
          <w:tcPr/>
          <w:p>
            <w:pPr>
              <w:pStyle w:val="Compact"/>
              <w:jc w:val="left"/>
            </w:pPr>
            <w:r>
              <w:t xml:space="preserve">Cell Culture Media</w:t>
            </w:r>
          </w:p>
        </w:tc>
        <w:tc>
          <w:tcPr/>
          <w:p>
            <w:pPr>
              <w:pStyle w:val="Compact"/>
              <w:jc w:val="left"/>
            </w:pPr>
            <w:r>
              <w:t xml:space="preserve">DMEM with supplements</w:t>
            </w:r>
          </w:p>
        </w:tc>
        <w:tc>
          <w:tcPr/>
          <w:p>
            <w:pPr>
              <w:pStyle w:val="Compact"/>
              <w:jc w:val="left"/>
            </w:pPr>
            <w:r>
              <w:t xml:space="preserve">10 liters</w:t>
            </w:r>
          </w:p>
        </w:tc>
      </w:tr>
      <w:tr>
        <w:tc>
          <w:tcPr/>
          <w:p>
            <w:pPr>
              <w:pStyle w:val="Compact"/>
              <w:jc w:val="left"/>
            </w:pPr>
            <w:r>
              <w:t xml:space="preserve">Incubator</w:t>
            </w:r>
          </w:p>
        </w:tc>
        <w:tc>
          <w:tcPr/>
          <w:p>
            <w:pPr>
              <w:pStyle w:val="Compact"/>
              <w:jc w:val="left"/>
            </w:pPr>
            <w:r>
              <w:t xml:space="preserve">CO2-controlled, 37°C</w:t>
            </w:r>
          </w:p>
        </w:tc>
        <w:tc>
          <w:tcPr/>
          <w:p>
            <w:pPr>
              <w:pStyle w:val="Compact"/>
              <w:jc w:val="left"/>
            </w:pPr>
            <w:r>
              <w:t xml:space="preserve">2 units</w:t>
            </w:r>
          </w:p>
        </w:tc>
      </w:tr>
      <w:tr>
        <w:tc>
          <w:tcPr/>
          <w:p>
            <w:pPr>
              <w:pStyle w:val="Compact"/>
              <w:jc w:val="left"/>
            </w:pPr>
            <w:r>
              <w:t xml:space="preserve">Mechanical Testing Machine</w:t>
            </w:r>
          </w:p>
        </w:tc>
        <w:tc>
          <w:tcPr/>
          <w:p>
            <w:pPr>
              <w:pStyle w:val="Compact"/>
              <w:jc w:val="left"/>
            </w:pPr>
            <w:r>
              <w:t xml:space="preserve">Universal testing system</w:t>
            </w:r>
          </w:p>
        </w:tc>
        <w:tc>
          <w:tcPr/>
          <w:p>
            <w:pPr>
              <w:pStyle w:val="Compact"/>
              <w:jc w:val="left"/>
            </w:pPr>
            <w:r>
              <w:t xml:space="preserve">1 unit</w:t>
            </w:r>
          </w:p>
        </w:tc>
      </w:tr>
      <w:tr>
        <w:tc>
          <w:tcPr/>
          <w:p>
            <w:pPr>
              <w:pStyle w:val="Compact"/>
              <w:jc w:val="left"/>
            </w:pPr>
            <w:r>
              <w:t xml:space="preserve">Microscope</w:t>
            </w:r>
          </w:p>
        </w:tc>
        <w:tc>
          <w:tcPr/>
          <w:p>
            <w:pPr>
              <w:pStyle w:val="Compact"/>
              <w:jc w:val="left"/>
            </w:pPr>
            <w:r>
              <w:t xml:space="preserve">Confocal laser scanning</w:t>
            </w:r>
          </w:p>
        </w:tc>
        <w:tc>
          <w:tcPr/>
          <w:p>
            <w:pPr>
              <w:pStyle w:val="Compact"/>
              <w:jc w:val="left"/>
            </w:pPr>
            <w:r>
              <w:t xml:space="preserve">1 unit</w:t>
            </w:r>
          </w:p>
        </w:tc>
      </w:tr>
    </w:tbl>
    <w:bookmarkEnd w:id="23"/>
    <w:bookmarkStart w:id="28" w:name="methodology"/>
    <w:p>
      <w:pPr>
        <w:pStyle w:val="Heading2"/>
      </w:pPr>
      <w:r>
        <w:t xml:space="preserve">5. Methodology</w:t>
      </w:r>
    </w:p>
    <w:bookmarkStart w:id="24" w:name="sample-preparation"/>
    <w:p>
      <w:pPr>
        <w:pStyle w:val="Heading3"/>
      </w:pPr>
      <w:r>
        <w:t xml:space="preserve">5.1 Sample Preparation</w:t>
      </w:r>
    </w:p>
    <w:p>
      <w:pPr>
        <w:pStyle w:val="FirstParagraph"/>
      </w:pPr>
      <w:r>
        <w:t xml:space="preserve">All biomaterial samples will be prepared in a cleanroom environment following ISO 14644 standards. Samples will be sterilized using gamma irradiation to ensure aseptic conditions.</w:t>
      </w:r>
    </w:p>
    <w:bookmarkEnd w:id="24"/>
    <w:bookmarkStart w:id="25" w:name="in-vitro-testing"/>
    <w:p>
      <w:pPr>
        <w:pStyle w:val="Heading3"/>
      </w:pPr>
      <w:r>
        <w:t xml:space="preserve">5.2 In Vitro Testing</w:t>
      </w:r>
    </w:p>
    <w:p>
      <w:pPr>
        <w:pStyle w:val="FirstParagraph"/>
      </w:pPr>
      <w:r>
        <w:t xml:space="preserve">Cell cultures will be seeded onto the biomaterial samples and incubated for 7, 14, and 21 days. Cell viability will be assessed using MTT assays. Morphological changes will be observed using confocal microscopy.</w:t>
      </w:r>
    </w:p>
    <w:bookmarkEnd w:id="25"/>
    <w:bookmarkStart w:id="26" w:name="in-vivo-testing"/>
    <w:p>
      <w:pPr>
        <w:pStyle w:val="Heading3"/>
      </w:pPr>
      <w:r>
        <w:t xml:space="preserve">5.3 In Vivo Testing</w:t>
      </w:r>
    </w:p>
    <w:p>
      <w:pPr>
        <w:pStyle w:val="FirstParagraph"/>
      </w:pPr>
      <w:r>
        <w:t xml:space="preserve">Animal studies will be conducted in accordance with ethical guidelines approved by the Institutional Animal Care and Use Committee (IACUC) in Jeddah. Implantation will be performed on rodent models, and tissue responses will be evaluated histologically.</w:t>
      </w:r>
    </w:p>
    <w:bookmarkEnd w:id="26"/>
    <w:bookmarkStart w:id="27" w:name="mechanical-testing"/>
    <w:p>
      <w:pPr>
        <w:pStyle w:val="Heading3"/>
      </w:pPr>
      <w:r>
        <w:t xml:space="preserve">5.4 Mechanical Testing</w:t>
      </w:r>
    </w:p>
    <w:p>
      <w:pPr>
        <w:pStyle w:val="FirstParagraph"/>
      </w:pPr>
      <w:r>
        <w:t xml:space="preserve">Compressive and tensile strength tests will be performed using a universal testing machine. Results will be compared against ISO 13314 standards for orthopedic implants.</w:t>
      </w:r>
    </w:p>
    <w:bookmarkEnd w:id="27"/>
    <w:bookmarkEnd w:id="28"/>
    <w:bookmarkStart w:id="29" w:name="data-collection-and-analysis"/>
    <w:p>
      <w:pPr>
        <w:pStyle w:val="Heading2"/>
      </w:pPr>
      <w:r>
        <w:t xml:space="preserve">6. Data Collection and Analysis</w:t>
      </w:r>
    </w:p>
    <w:p>
      <w:pPr>
        <w:pStyle w:val="FirstParagraph"/>
      </w:pPr>
      <w:r>
        <w:t xml:space="preserve">Data will be recorded electronically using validated laboratory information management systems (LIMS). Statistical analysis will be performed using appropriate software (e.g., SPSS or GraphPad Prism). Significance will be determined at p &lt; 0.05.</w:t>
      </w:r>
    </w:p>
    <w:bookmarkEnd w:id="29"/>
    <w:bookmarkStart w:id="30" w:name="safety-and-ethical-considerations"/>
    <w:p>
      <w:pPr>
        <w:pStyle w:val="Heading2"/>
      </w:pPr>
      <w:r>
        <w:t xml:space="preserve">7. Safety and Ethical Considerations</w:t>
      </w:r>
    </w:p>
    <w:p>
      <w:pPr>
        <w:pStyle w:val="FirstParagraph"/>
      </w:pPr>
      <w:r>
        <w:t xml:space="preserve">All procedures will adhere to biosafety level 2 (BSL-2) requirements. Personal protective equipment (PPE) must be worn at all times. Ethical approval will be obtained from the relevant authorities in Saudi Arabia before commencing any animal or human-related studies.</w:t>
      </w:r>
    </w:p>
    <w:bookmarkEnd w:id="30"/>
    <w:bookmarkStart w:id="31" w:name="roles-and-responsibilities"/>
    <w:p>
      <w:pPr>
        <w:pStyle w:val="Heading2"/>
      </w:pPr>
      <w:r>
        <w:t xml:space="preserve">8. Roles and Responsibilities</w:t>
      </w:r>
    </w:p>
    <w:p>
      <w:pPr>
        <w:numPr>
          <w:ilvl w:val="0"/>
          <w:numId w:val="1002"/>
        </w:numPr>
        <w:pStyle w:val="Compact"/>
      </w:pPr>
      <w:r>
        <w:rPr>
          <w:bCs/>
          <w:b/>
        </w:rPr>
        <w:t xml:space="preserve">Biomedical Engineer:</w:t>
      </w:r>
      <w:r>
        <w:t xml:space="preserve"> </w:t>
      </w:r>
      <w:r>
        <w:t xml:space="preserve">Oversees experimental design, ensures technical accuracy, and interprets results.</w:t>
      </w:r>
    </w:p>
    <w:p>
      <w:pPr>
        <w:numPr>
          <w:ilvl w:val="0"/>
          <w:numId w:val="1002"/>
        </w:numPr>
        <w:pStyle w:val="Compact"/>
      </w:pPr>
      <w:r>
        <w:rPr>
          <w:bCs/>
          <w:b/>
        </w:rPr>
        <w:t xml:space="preserve">Research Assistants:</w:t>
      </w:r>
      <w:r>
        <w:t xml:space="preserve"> </w:t>
      </w:r>
      <w:r>
        <w:t xml:space="preserve">Conduct experiments, collect data, and maintain equipment.</w:t>
      </w:r>
    </w:p>
    <w:p>
      <w:pPr>
        <w:numPr>
          <w:ilvl w:val="0"/>
          <w:numId w:val="1002"/>
        </w:numPr>
        <w:pStyle w:val="Compact"/>
      </w:pPr>
      <w:r>
        <w:rPr>
          <w:bCs/>
          <w:b/>
        </w:rPr>
        <w:t xml:space="preserve">Ethics Committee:</w:t>
      </w:r>
      <w:r>
        <w:t xml:space="preserve"> </w:t>
      </w:r>
      <w:r>
        <w:t xml:space="preserve">Reviews and approves protocols to ensure compliance with ethical standards.</w:t>
      </w:r>
    </w:p>
    <w:bookmarkEnd w:id="31"/>
    <w:bookmarkStart w:id="32" w:name="timeline"/>
    <w:p>
      <w:pPr>
        <w:pStyle w:val="Heading2"/>
      </w:pPr>
      <w:r>
        <w:t xml:space="preserve">9.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Duration</w:t>
            </w:r>
          </w:p>
        </w:tc>
      </w:tr>
      <w:tr>
        <w:tc>
          <w:tcPr/>
          <w:p>
            <w:pPr>
              <w:pStyle w:val="Compact"/>
              <w:jc w:val="left"/>
            </w:pPr>
            <w:r>
              <w:t xml:space="preserve">Sample Preparation</w:t>
            </w:r>
          </w:p>
        </w:tc>
        <w:tc>
          <w:tcPr/>
          <w:p>
            <w:pPr>
              <w:pStyle w:val="Compact"/>
              <w:jc w:val="left"/>
            </w:pPr>
            <w:r>
              <w:t xml:space="preserve">2 weeks</w:t>
            </w:r>
          </w:p>
        </w:tc>
      </w:tr>
      <w:tr>
        <w:tc>
          <w:tcPr/>
          <w:p>
            <w:pPr>
              <w:pStyle w:val="Compact"/>
              <w:jc w:val="left"/>
            </w:pPr>
            <w:r>
              <w:t xml:space="preserve">In Vitro Testing</w:t>
            </w:r>
          </w:p>
        </w:tc>
        <w:tc>
          <w:tcPr/>
          <w:p>
            <w:pPr>
              <w:pStyle w:val="Compact"/>
              <w:jc w:val="left"/>
            </w:pPr>
            <w:r>
              <w:t xml:space="preserve">6 weeks</w:t>
            </w:r>
          </w:p>
        </w:tc>
      </w:tr>
      <w:tr>
        <w:tc>
          <w:tcPr/>
          <w:p>
            <w:pPr>
              <w:pStyle w:val="Compact"/>
              <w:jc w:val="left"/>
            </w:pPr>
            <w:r>
              <w:t xml:space="preserve">In Vivo Testing</w:t>
            </w:r>
          </w:p>
        </w:tc>
        <w:tc>
          <w:tcPr/>
          <w:p>
            <w:pPr>
              <w:pStyle w:val="Compact"/>
              <w:jc w:val="left"/>
            </w:pPr>
            <w:r>
              <w:t xml:space="preserve">12 weeks</w:t>
            </w:r>
          </w:p>
        </w:tc>
      </w:tr>
      <w:tr>
        <w:tc>
          <w:tcPr/>
          <w:p>
            <w:pPr>
              <w:pStyle w:val="Compact"/>
              <w:jc w:val="left"/>
            </w:pPr>
            <w:r>
              <w:t xml:space="preserve">Data Analysis</w:t>
            </w:r>
          </w:p>
        </w:tc>
        <w:tc>
          <w:tcPr/>
          <w:p>
            <w:pPr>
              <w:pStyle w:val="Compact"/>
              <w:jc w:val="left"/>
            </w:pPr>
            <w:r>
              <w:t xml:space="preserve">4 weeks</w:t>
            </w:r>
          </w:p>
        </w:tc>
      </w:tr>
      <w:tr>
        <w:tc>
          <w:tcPr/>
          <w:p>
            <w:pPr>
              <w:pStyle w:val="Compact"/>
              <w:jc w:val="left"/>
            </w:pPr>
            <w:r>
              <w:t xml:space="preserve">Reporting</w:t>
            </w:r>
          </w:p>
        </w:tc>
        <w:tc>
          <w:tcPr/>
          <w:p>
            <w:pPr>
              <w:pStyle w:val="Compact"/>
              <w:jc w:val="left"/>
            </w:pPr>
            <w:r>
              <w:t xml:space="preserve">2 weeks</w:t>
            </w:r>
          </w:p>
        </w:tc>
      </w:tr>
    </w:tbl>
    <w:bookmarkEnd w:id="32"/>
    <w:bookmarkStart w:id="33" w:name="conclusion"/>
    <w:p>
      <w:pPr>
        <w:pStyle w:val="Heading2"/>
      </w:pPr>
      <w:r>
        <w:t xml:space="preserve">10. Conclusion</w:t>
      </w:r>
    </w:p>
    <w:p>
      <w:pPr>
        <w:pStyle w:val="FirstParagraph"/>
      </w:pPr>
      <w:r>
        <w:t xml:space="preserve">This Experiment Protocol provides a comprehensive framework for conducting biomedical engineering research in Jeddah, Saudi Arabia. By following these guidelines, the Biomedical Engineer ensures that the study is scientifically rigorous, ethically sound, and aligned with national healthcare objectives.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Jeddah</dc:title>
  <dc:creator/>
  <dc:language>en</dc:language>
  <cp:keywords/>
  <dcterms:created xsi:type="dcterms:W3CDTF">2026-10-10T02:16:09Z</dcterms:created>
  <dcterms:modified xsi:type="dcterms:W3CDTF">2026-10-10T02:16:09Z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