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Cape</w:t>
      </w:r>
      <w:r>
        <w:t xml:space="preserve"> </w:t>
      </w:r>
      <w:r>
        <w:t xml:space="preserve">Town</w:t>
      </w:r>
    </w:p>
    <w:bookmarkStart w:id="20" w:name="X0db5ac79884174d3e4fe00583894b98cba18d19"/>
    <w:p>
      <w:pPr>
        <w:pStyle w:val="Heading1"/>
      </w:pPr>
      <w:r>
        <w:t xml:space="preserve">Experiment Protocol: Biomedical Engineering Research</w:t>
      </w:r>
    </w:p>
    <w:p>
      <w:pPr>
        <w:pStyle w:val="FirstParagraph"/>
      </w:pPr>
      <w:r>
        <w:rPr>
          <w:bCs/>
          <w:b/>
        </w:rPr>
        <w:t xml:space="preserve">Location:</w:t>
      </w:r>
      <w:r>
        <w:t xml:space="preserve"> </w:t>
      </w:r>
      <w:r>
        <w:t xml:space="preserve">Cape Town, South Africa</w:t>
      </w:r>
    </w:p>
    <w:p>
      <w:pPr>
        <w:pStyle w:val="BodyText"/>
      </w:pPr>
      <w:r>
        <w:rPr>
          <w:bCs/>
          <w:b/>
        </w:rPr>
        <w:t xml:space="preserve">Discipline:</w:t>
      </w:r>
      <w:r>
        <w:t xml:space="preserve"> </w:t>
      </w:r>
      <w:r>
        <w:t xml:space="preserve">Biomedical Engineering</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Experiment Protocol outlines the procedures, safety measures, and ethical considerations for conducting biomedical engineering research in Cape Town, South Africa. The protocol is designed to ensure compliance with local regulations, including those set by the South African Health Products Regulatory Authority (SAHPRA) and the National Health Act. It is intended for use by biomedical engineers, researchers, and clinical staff involved in the development, testing, or evaluation of medical devices, diagnostic tools, or therapeutic technologies.</w:t>
      </w:r>
    </w:p>
    <w:p>
      <w:pPr>
        <w:pStyle w:val="BodyText"/>
      </w:pPr>
      <w:r>
        <w:t xml:space="preserve">Cape Town, as a hub for medical innovation in South Africa, hosts several leading institutions, including the University of Cape Town (UCT) and the Cape Town Academic Health Science Centre. This protocol leverages the region’s advanced infrastructure while addressing local challenges such as resource limitations, diverse patient populations, and the need for culturally sensitive research practices.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ensure the safe and ethical development and testing of biomedical devices in Cape Town.</w:t>
      </w:r>
    </w:p>
    <w:p>
      <w:pPr>
        <w:numPr>
          <w:ilvl w:val="0"/>
          <w:numId w:val="1001"/>
        </w:numPr>
        <w:pStyle w:val="Compact"/>
      </w:pPr>
      <w:r>
        <w:t xml:space="preserve">To comply with South African regulatory standards for medical research and device approval.</w:t>
      </w:r>
    </w:p>
    <w:p>
      <w:pPr>
        <w:numPr>
          <w:ilvl w:val="0"/>
          <w:numId w:val="1001"/>
        </w:numPr>
        <w:pStyle w:val="Compact"/>
      </w:pPr>
      <w:r>
        <w:t xml:space="preserve">To protect the rights, safety, and well-being of human participants, if applicable.</w:t>
      </w:r>
    </w:p>
    <w:p>
      <w:pPr>
        <w:numPr>
          <w:ilvl w:val="0"/>
          <w:numId w:val="1001"/>
        </w:numPr>
        <w:pStyle w:val="Compact"/>
      </w:pPr>
      <w:r>
        <w:t xml:space="preserve">To promote transparency, reproducibility, and scientific rigor in biomedical engineering research.</w:t>
      </w:r>
    </w:p>
    <w:p>
      <w:pPr>
        <w:numPr>
          <w:ilvl w:val="0"/>
          <w:numId w:val="1001"/>
        </w:numPr>
        <w:pStyle w:val="Compact"/>
      </w:pPr>
      <w:r>
        <w:t xml:space="preserve">To address local healthcare needs, such as improving access to diagnostic tools in underserved communities.</w:t>
      </w:r>
    </w:p>
    <w:bookmarkEnd w:id="22"/>
    <w:bookmarkStart w:id="23" w:name="scope"/>
    <w:p>
      <w:pPr>
        <w:pStyle w:val="Heading2"/>
      </w:pPr>
      <w:r>
        <w:t xml:space="preserve">3. Scope</w:t>
      </w:r>
    </w:p>
    <w:p>
      <w:pPr>
        <w:pStyle w:val="FirstParagraph"/>
      </w:pPr>
      <w:r>
        <w:t xml:space="preserve">This protocol applies to all biomedical engineering experiments conducted in Cape Town, South Africa, including but not limited to:</w:t>
      </w:r>
    </w:p>
    <w:p>
      <w:pPr>
        <w:numPr>
          <w:ilvl w:val="0"/>
          <w:numId w:val="1002"/>
        </w:numPr>
        <w:pStyle w:val="Compact"/>
      </w:pPr>
      <w:r>
        <w:t xml:space="preserve">Preclinical testing of medical devices using animal or in vitro models.</w:t>
      </w:r>
    </w:p>
    <w:p>
      <w:pPr>
        <w:numPr>
          <w:ilvl w:val="0"/>
          <w:numId w:val="1002"/>
        </w:numPr>
        <w:pStyle w:val="Compact"/>
      </w:pPr>
      <w:r>
        <w:t xml:space="preserve">Clinical trials involving human participants.</w:t>
      </w:r>
    </w:p>
    <w:p>
      <w:pPr>
        <w:numPr>
          <w:ilvl w:val="0"/>
          <w:numId w:val="1002"/>
        </w:numPr>
        <w:pStyle w:val="Compact"/>
      </w:pPr>
      <w:r>
        <w:t xml:space="preserve">Field testing of diagnostic or therapeutic technologies in healthcare facilities.</w:t>
      </w:r>
    </w:p>
    <w:p>
      <w:pPr>
        <w:numPr>
          <w:ilvl w:val="0"/>
          <w:numId w:val="1002"/>
        </w:numPr>
        <w:pStyle w:val="Compact"/>
      </w:pPr>
      <w:r>
        <w:t xml:space="preserve">Research involving biological samples, data collection, or computational modeling.</w:t>
      </w:r>
    </w:p>
    <w:p>
      <w:pPr>
        <w:pStyle w:val="FirstParagraph"/>
      </w:pPr>
      <w:r>
        <w:t xml:space="preserve">All personnel involved in the experiment, including biomedical engineers, clinicians, data analysts, and support staff, must adhere to this protocol.</w:t>
      </w:r>
    </w:p>
    <w:bookmarkEnd w:id="23"/>
    <w:bookmarkStart w:id="24" w:name="regulatory-and-ethical-compliance"/>
    <w:p>
      <w:pPr>
        <w:pStyle w:val="Heading2"/>
      </w:pPr>
      <w:r>
        <w:t xml:space="preserve">4. Regulatory and Ethical Compliance</w:t>
      </w:r>
    </w:p>
    <w:p>
      <w:pPr>
        <w:pStyle w:val="FirstParagraph"/>
      </w:pPr>
      <w:r>
        <w:t xml:space="preserve">Biomedical engineering research in Cape Town must comply with the following regulatory and ethical frameworks:</w:t>
      </w:r>
    </w:p>
    <w:p>
      <w:pPr>
        <w:numPr>
          <w:ilvl w:val="0"/>
          <w:numId w:val="1003"/>
        </w:numPr>
        <w:pStyle w:val="Compact"/>
      </w:pPr>
      <w:r>
        <w:rPr>
          <w:bCs/>
          <w:b/>
        </w:rPr>
        <w:t xml:space="preserve">National Health Act (Act No. 61 of 2003):</w:t>
      </w:r>
      <w:r>
        <w:t xml:space="preserve"> </w:t>
      </w:r>
      <w:r>
        <w:t xml:space="preserve">Governs health research involving human participants.</w:t>
      </w:r>
    </w:p>
    <w:p>
      <w:pPr>
        <w:numPr>
          <w:ilvl w:val="0"/>
          <w:numId w:val="1003"/>
        </w:numPr>
        <w:pStyle w:val="Compact"/>
      </w:pPr>
      <w:r>
        <w:rPr>
          <w:bCs/>
          <w:b/>
        </w:rPr>
        <w:t xml:space="preserve">SAHPRA Guidelines:</w:t>
      </w:r>
      <w:r>
        <w:t xml:space="preserve"> </w:t>
      </w:r>
      <w:r>
        <w:t xml:space="preserve">Regulates the approval and testing of medical devices.</w:t>
      </w:r>
    </w:p>
    <w:p>
      <w:pPr>
        <w:numPr>
          <w:ilvl w:val="0"/>
          <w:numId w:val="1003"/>
        </w:numPr>
        <w:pStyle w:val="Compact"/>
      </w:pPr>
      <w:r>
        <w:rPr>
          <w:bCs/>
          <w:b/>
        </w:rPr>
        <w:t xml:space="preserve">Institutional Review Board (IRB) Approval:</w:t>
      </w:r>
      <w:r>
        <w:t xml:space="preserve"> </w:t>
      </w:r>
      <w:r>
        <w:t xml:space="preserve">Required for all studies involving human subjects or biological samples.</w:t>
      </w:r>
    </w:p>
    <w:p>
      <w:pPr>
        <w:numPr>
          <w:ilvl w:val="0"/>
          <w:numId w:val="1003"/>
        </w:numPr>
        <w:pStyle w:val="Compact"/>
      </w:pPr>
      <w:r>
        <w:rPr>
          <w:bCs/>
          <w:b/>
        </w:rPr>
        <w:t xml:space="preserve">Declaration of Helsinki:</w:t>
      </w:r>
      <w:r>
        <w:t xml:space="preserve"> </w:t>
      </w:r>
      <w:r>
        <w:t xml:space="preserve">Ethical principles for medical research involving human participants.</w:t>
      </w:r>
    </w:p>
    <w:p>
      <w:pPr>
        <w:numPr>
          <w:ilvl w:val="0"/>
          <w:numId w:val="1003"/>
        </w:numPr>
        <w:pStyle w:val="Compact"/>
      </w:pPr>
      <w:r>
        <w:rPr>
          <w:bCs/>
          <w:b/>
        </w:rPr>
        <w:t xml:space="preserve">Good Clinical Practice (GCP):</w:t>
      </w:r>
      <w:r>
        <w:t xml:space="preserve"> </w:t>
      </w:r>
      <w:r>
        <w:t xml:space="preserve">International ethical and scientific quality standards for designing, conducting, and reporting clinical trials.</w:t>
      </w:r>
    </w:p>
    <w:p>
      <w:pPr>
        <w:pStyle w:val="FirstParagraph"/>
      </w:pPr>
      <w:r>
        <w:t xml:space="preserve">All experiments must receive prior approval from the relevant ethics committee, such as the UCT Human Research Ethics Committee (HREC), before commencement.</w:t>
      </w:r>
    </w:p>
    <w:bookmarkEnd w:id="24"/>
    <w:bookmarkStart w:id="25" w:name="experimental-design"/>
    <w:p>
      <w:pPr>
        <w:pStyle w:val="Heading2"/>
      </w:pPr>
      <w:r>
        <w:t xml:space="preserve">5. Experimental Design</w:t>
      </w:r>
    </w:p>
    <w:p>
      <w:pPr>
        <w:pStyle w:val="FirstParagraph"/>
      </w:pPr>
      <w:r>
        <w:t xml:space="preserve">The experimental design must be clearly defined and include the following components:</w:t>
      </w:r>
    </w:p>
    <w:p>
      <w:pPr>
        <w:numPr>
          <w:ilvl w:val="0"/>
          <w:numId w:val="1004"/>
        </w:numPr>
        <w:pStyle w:val="Compact"/>
      </w:pPr>
      <w:r>
        <w:rPr>
          <w:bCs/>
          <w:b/>
        </w:rPr>
        <w:t xml:space="preserve">Hypothesis:</w:t>
      </w:r>
      <w:r>
        <w:t xml:space="preserve"> </w:t>
      </w:r>
      <w:r>
        <w:t xml:space="preserve">A clear statement of the research question or objective.</w:t>
      </w:r>
    </w:p>
    <w:p>
      <w:pPr>
        <w:numPr>
          <w:ilvl w:val="0"/>
          <w:numId w:val="1004"/>
        </w:numPr>
        <w:pStyle w:val="Compact"/>
      </w:pPr>
      <w:r>
        <w:rPr>
          <w:bCs/>
          <w:b/>
        </w:rPr>
        <w:t xml:space="preserve">Methodology:</w:t>
      </w:r>
      <w:r>
        <w:t xml:space="preserve"> </w:t>
      </w:r>
      <w:r>
        <w:t xml:space="preserve">Detailed procedures for device testing, data collection, and analysis.</w:t>
      </w:r>
    </w:p>
    <w:p>
      <w:pPr>
        <w:numPr>
          <w:ilvl w:val="0"/>
          <w:numId w:val="1004"/>
        </w:numPr>
        <w:pStyle w:val="Compact"/>
      </w:pPr>
      <w:r>
        <w:rPr>
          <w:bCs/>
          <w:b/>
        </w:rPr>
        <w:t xml:space="preserve">Sample Size:</w:t>
      </w:r>
      <w:r>
        <w:t xml:space="preserve"> </w:t>
      </w:r>
      <w:r>
        <w:t xml:space="preserve">Justification for the number of participants, animals, or samples required.</w:t>
      </w:r>
    </w:p>
    <w:p>
      <w:pPr>
        <w:numPr>
          <w:ilvl w:val="0"/>
          <w:numId w:val="1004"/>
        </w:numPr>
        <w:pStyle w:val="Compact"/>
      </w:pPr>
      <w:r>
        <w:rPr>
          <w:bCs/>
          <w:b/>
        </w:rPr>
        <w:t xml:space="preserve">Inclusion and Exclusion Criteria:</w:t>
      </w:r>
      <w:r>
        <w:t xml:space="preserve"> </w:t>
      </w:r>
      <w:r>
        <w:t xml:space="preserve">Specific criteria for selecting participants or samples.</w:t>
      </w:r>
    </w:p>
    <w:p>
      <w:pPr>
        <w:numPr>
          <w:ilvl w:val="0"/>
          <w:numId w:val="1004"/>
        </w:numPr>
        <w:pStyle w:val="Compact"/>
      </w:pPr>
      <w:r>
        <w:rPr>
          <w:bCs/>
          <w:b/>
        </w:rPr>
        <w:t xml:space="preserve">Control Groups:</w:t>
      </w:r>
      <w:r>
        <w:t xml:space="preserve"> </w:t>
      </w:r>
      <w:r>
        <w:t xml:space="preserve">If applicable, description of control conditions or placebo groups.</w:t>
      </w:r>
    </w:p>
    <w:p>
      <w:pPr>
        <w:numPr>
          <w:ilvl w:val="0"/>
          <w:numId w:val="1004"/>
        </w:numPr>
        <w:pStyle w:val="Compact"/>
      </w:pPr>
      <w:r>
        <w:rPr>
          <w:bCs/>
          <w:b/>
        </w:rPr>
        <w:t xml:space="preserve">Data Collection Tools:</w:t>
      </w:r>
      <w:r>
        <w:t xml:space="preserve"> </w:t>
      </w:r>
      <w:r>
        <w:t xml:space="preserve">Instruments, software, or methods used to gather data.</w:t>
      </w:r>
    </w:p>
    <w:p>
      <w:pPr>
        <w:numPr>
          <w:ilvl w:val="0"/>
          <w:numId w:val="1004"/>
        </w:numPr>
        <w:pStyle w:val="Compact"/>
      </w:pPr>
      <w:r>
        <w:rPr>
          <w:bCs/>
          <w:b/>
        </w:rPr>
        <w:t xml:space="preserve">Statistical Analysis Plan:</w:t>
      </w:r>
      <w:r>
        <w:t xml:space="preserve"> </w:t>
      </w:r>
      <w:r>
        <w:t xml:space="preserve">Methods for analyzing data and determining significance.</w:t>
      </w:r>
    </w:p>
    <w:p>
      <w:pPr>
        <w:pStyle w:val="FirstParagraph"/>
      </w:pPr>
      <w:r>
        <w:t xml:space="preserve">The design must be reviewed and approved by the research team and ethics committee before implementation.</w:t>
      </w:r>
    </w:p>
    <w:bookmarkEnd w:id="25"/>
    <w:bookmarkStart w:id="26" w:name="safety-measures"/>
    <w:p>
      <w:pPr>
        <w:pStyle w:val="Heading2"/>
      </w:pPr>
      <w:r>
        <w:t xml:space="preserve">6. Safety Measures</w:t>
      </w:r>
    </w:p>
    <w:p>
      <w:pPr>
        <w:pStyle w:val="FirstParagraph"/>
      </w:pPr>
      <w:r>
        <w:t xml:space="preserve">Safety is a critical component of this protocol. The following measures must be implemented:</w:t>
      </w:r>
    </w:p>
    <w:p>
      <w:pPr>
        <w:numPr>
          <w:ilvl w:val="0"/>
          <w:numId w:val="1005"/>
        </w:numPr>
        <w:pStyle w:val="Compact"/>
      </w:pPr>
      <w:r>
        <w:rPr>
          <w:bCs/>
          <w:b/>
        </w:rPr>
        <w:t xml:space="preserve">Personal Protective Equipment (PPE):</w:t>
      </w:r>
      <w:r>
        <w:t xml:space="preserve"> </w:t>
      </w:r>
      <w:r>
        <w:t xml:space="preserve">All personnel must wear appropriate PPE, including gloves, lab coats, and eye protection.</w:t>
      </w:r>
    </w:p>
    <w:p>
      <w:pPr>
        <w:numPr>
          <w:ilvl w:val="0"/>
          <w:numId w:val="1005"/>
        </w:numPr>
        <w:pStyle w:val="Compact"/>
      </w:pPr>
      <w:r>
        <w:rPr>
          <w:bCs/>
          <w:b/>
        </w:rPr>
        <w:t xml:space="preserve">Biosafety Levels:</w:t>
      </w:r>
      <w:r>
        <w:t xml:space="preserve"> </w:t>
      </w:r>
      <w:r>
        <w:t xml:space="preserve">Experiments involving biological materials must adhere to the appropriate biosafety level (BSL-1 to BSL-4).</w:t>
      </w:r>
    </w:p>
    <w:p>
      <w:pPr>
        <w:numPr>
          <w:ilvl w:val="0"/>
          <w:numId w:val="1005"/>
        </w:numPr>
        <w:pStyle w:val="Compact"/>
      </w:pPr>
      <w:r>
        <w:rPr>
          <w:bCs/>
          <w:b/>
        </w:rPr>
        <w:t xml:space="preserve">Device Safety Testing:</w:t>
      </w:r>
      <w:r>
        <w:t xml:space="preserve"> </w:t>
      </w:r>
      <w:r>
        <w:t xml:space="preserve">All medical devices must undergo rigorous safety testing before use in humans.</w:t>
      </w:r>
    </w:p>
    <w:p>
      <w:pPr>
        <w:numPr>
          <w:ilvl w:val="0"/>
          <w:numId w:val="1005"/>
        </w:numPr>
        <w:pStyle w:val="Compact"/>
      </w:pPr>
      <w:r>
        <w:rPr>
          <w:bCs/>
          <w:b/>
        </w:rPr>
        <w:t xml:space="preserve">Emergency Procedures:</w:t>
      </w:r>
      <w:r>
        <w:t xml:space="preserve"> </w:t>
      </w:r>
      <w:r>
        <w:t xml:space="preserve">Clear protocols for handling accidents, spills, or adverse events.</w:t>
      </w:r>
    </w:p>
    <w:p>
      <w:pPr>
        <w:numPr>
          <w:ilvl w:val="0"/>
          <w:numId w:val="1005"/>
        </w:numPr>
        <w:pStyle w:val="Compact"/>
      </w:pPr>
      <w:r>
        <w:rPr>
          <w:bCs/>
          <w:b/>
        </w:rPr>
        <w:t xml:space="preserve">Training:</w:t>
      </w:r>
      <w:r>
        <w:t xml:space="preserve"> </w:t>
      </w:r>
      <w:r>
        <w:t xml:space="preserve">All personnel must receive training on safety procedures and emergency response.</w:t>
      </w:r>
    </w:p>
    <w:bookmarkEnd w:id="26"/>
    <w:bookmarkStart w:id="27" w:name="data-management-and-confidentiality"/>
    <w:p>
      <w:pPr>
        <w:pStyle w:val="Heading2"/>
      </w:pPr>
      <w:r>
        <w:t xml:space="preserve">7. Data Management and Confidentiality</w:t>
      </w:r>
    </w:p>
    <w:p>
      <w:pPr>
        <w:pStyle w:val="FirstParagraph"/>
      </w:pPr>
      <w:r>
        <w:t xml:space="preserve">Data collected during the experiment must be managed securely and in compliance with South African data protection laws, including the Protection of Personal Information Act (POPIA). Key requirements include:</w:t>
      </w:r>
    </w:p>
    <w:p>
      <w:pPr>
        <w:numPr>
          <w:ilvl w:val="0"/>
          <w:numId w:val="1006"/>
        </w:numPr>
        <w:pStyle w:val="Compact"/>
      </w:pPr>
      <w:r>
        <w:rPr>
          <w:bCs/>
          <w:b/>
        </w:rPr>
        <w:t xml:space="preserve">Informed Consent:</w:t>
      </w:r>
      <w:r>
        <w:t xml:space="preserve"> </w:t>
      </w:r>
      <w:r>
        <w:t xml:space="preserve">Participants must provide written consent after being fully informed of the study’s purpose, risks, and benefits.</w:t>
      </w:r>
    </w:p>
    <w:p>
      <w:pPr>
        <w:numPr>
          <w:ilvl w:val="0"/>
          <w:numId w:val="1006"/>
        </w:numPr>
        <w:pStyle w:val="Compact"/>
      </w:pPr>
      <w:r>
        <w:rPr>
          <w:bCs/>
          <w:b/>
        </w:rPr>
        <w:t xml:space="preserve">Anonymization:</w:t>
      </w:r>
      <w:r>
        <w:t xml:space="preserve"> </w:t>
      </w:r>
      <w:r>
        <w:t xml:space="preserve">Personal identifiers must be removed or coded to protect participant privacy.</w:t>
      </w:r>
    </w:p>
    <w:p>
      <w:pPr>
        <w:numPr>
          <w:ilvl w:val="0"/>
          <w:numId w:val="1006"/>
        </w:numPr>
        <w:pStyle w:val="Compact"/>
      </w:pPr>
      <w:r>
        <w:rPr>
          <w:bCs/>
          <w:b/>
        </w:rPr>
        <w:t xml:space="preserve">Data Storage:</w:t>
      </w:r>
      <w:r>
        <w:t xml:space="preserve"> </w:t>
      </w:r>
      <w:r>
        <w:t xml:space="preserve">Data must be stored in secure, access-controlled systems.</w:t>
      </w:r>
    </w:p>
    <w:p>
      <w:pPr>
        <w:numPr>
          <w:ilvl w:val="0"/>
          <w:numId w:val="1006"/>
        </w:numPr>
        <w:pStyle w:val="Compact"/>
      </w:pPr>
      <w:r>
        <w:rPr>
          <w:bCs/>
          <w:b/>
        </w:rPr>
        <w:t xml:space="preserve">Data Sharing:</w:t>
      </w:r>
      <w:r>
        <w:t xml:space="preserve"> </w:t>
      </w:r>
      <w:r>
        <w:t xml:space="preserve">Any sharing of data with third parties must be approved by the ethics committee and comply with legal requirements.</w:t>
      </w:r>
    </w:p>
    <w:bookmarkEnd w:id="27"/>
    <w:bookmarkStart w:id="28" w:name="monitoring-and-reporting"/>
    <w:p>
      <w:pPr>
        <w:pStyle w:val="Heading2"/>
      </w:pPr>
      <w:r>
        <w:t xml:space="preserve">8. Monitoring and Reporting</w:t>
      </w:r>
    </w:p>
    <w:p>
      <w:pPr>
        <w:pStyle w:val="FirstParagraph"/>
      </w:pPr>
      <w:r>
        <w:t xml:space="preserve">The experiment must be continuously monitored to ensure compliance with this protocol. Key aspects include:</w:t>
      </w:r>
    </w:p>
    <w:p>
      <w:pPr>
        <w:numPr>
          <w:ilvl w:val="0"/>
          <w:numId w:val="1007"/>
        </w:numPr>
        <w:pStyle w:val="Compact"/>
      </w:pPr>
      <w:r>
        <w:rPr>
          <w:bCs/>
          <w:b/>
        </w:rPr>
        <w:t xml:space="preserve">Regular Audits:</w:t>
      </w:r>
      <w:r>
        <w:t xml:space="preserve"> </w:t>
      </w:r>
      <w:r>
        <w:t xml:space="preserve">Internal and external audits to verify adherence to safety, ethical, and regulatory standards.</w:t>
      </w:r>
    </w:p>
    <w:p>
      <w:pPr>
        <w:numPr>
          <w:ilvl w:val="0"/>
          <w:numId w:val="1007"/>
        </w:numPr>
        <w:pStyle w:val="Compact"/>
      </w:pPr>
      <w:r>
        <w:rPr>
          <w:bCs/>
          <w:b/>
        </w:rPr>
        <w:t xml:space="preserve">Adverse Event Reporting:</w:t>
      </w:r>
      <w:r>
        <w:t xml:space="preserve"> </w:t>
      </w:r>
      <w:r>
        <w:t xml:space="preserve">Immediate reporting of any adverse events or protocol deviations to the ethics committee and relevant authorities.</w:t>
      </w:r>
    </w:p>
    <w:p>
      <w:pPr>
        <w:numPr>
          <w:ilvl w:val="0"/>
          <w:numId w:val="1007"/>
        </w:numPr>
        <w:pStyle w:val="Compact"/>
      </w:pPr>
      <w:r>
        <w:rPr>
          <w:bCs/>
          <w:b/>
        </w:rPr>
        <w:t xml:space="preserve">Progress Reports:</w:t>
      </w:r>
      <w:r>
        <w:t xml:space="preserve"> </w:t>
      </w:r>
      <w:r>
        <w:t xml:space="preserve">Periodic reports on the experiment’s progress, findings, and any issues encountered.</w:t>
      </w:r>
    </w:p>
    <w:p>
      <w:pPr>
        <w:numPr>
          <w:ilvl w:val="0"/>
          <w:numId w:val="1007"/>
        </w:numPr>
        <w:pStyle w:val="Compact"/>
      </w:pPr>
      <w:r>
        <w:rPr>
          <w:bCs/>
          <w:b/>
        </w:rPr>
        <w:t xml:space="preserve">Final Report:</w:t>
      </w:r>
      <w:r>
        <w:t xml:space="preserve"> </w:t>
      </w:r>
      <w:r>
        <w:t xml:space="preserve">A comprehensive report summarizing the experiment’s outcomes, including data analysis, conclusions, and recommendations.</w:t>
      </w:r>
    </w:p>
    <w:bookmarkEnd w:id="28"/>
    <w:bookmarkStart w:id="29" w:name="conclusion"/>
    <w:p>
      <w:pPr>
        <w:pStyle w:val="Heading2"/>
      </w:pPr>
      <w:r>
        <w:t xml:space="preserve">9. Conclusion</w:t>
      </w:r>
    </w:p>
    <w:p>
      <w:pPr>
        <w:pStyle w:val="FirstParagraph"/>
      </w:pPr>
      <w:r>
        <w:t xml:space="preserve">This Experiment Protocol provides a comprehensive framework for conducting biomedical engineering research in Cape Town, South Africa. By adhering to these guidelines, researchers can ensure the safety, ethical integrity, and scientific validity of their work while contributing to the advancement of healthcare in the region. All personnel involved in the experiment are expected to familiarize themselves with this protocol and seek clarification from the research team or ethics committee as needed.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Cape Town</dc:title>
  <dc:creator/>
  <dc:language>en</dc:language>
  <cp:keywords/>
  <dcterms:created xsi:type="dcterms:W3CDTF">2026-10-10T04:08:22Z</dcterms:created>
  <dcterms:modified xsi:type="dcterms:W3CDTF">2026-10-10T04:08:22Z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