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Seoul</w:t>
      </w:r>
    </w:p>
    <w:bookmarkStart w:id="29" w:name="X64af81838839ebd8f55801ee4a8442df168df5b"/>
    <w:p>
      <w:pPr>
        <w:pStyle w:val="Heading1"/>
      </w:pPr>
      <w:r>
        <w:t xml:space="preserve">Experiment Protocol: Advanced Biomedical Engineering Research</w:t>
      </w:r>
    </w:p>
    <w:p>
      <w:pPr>
        <w:pStyle w:val="FirstParagraph"/>
      </w:pPr>
      <w:r>
        <w:rPr>
          <w:bCs/>
          <w:b/>
        </w:rPr>
        <w:t xml:space="preserve">Protocol ID:</w:t>
      </w:r>
      <w:r>
        <w:t xml:space="preserve"> </w:t>
      </w:r>
      <w:r>
        <w:t xml:space="preserve">BK21-BME-2024-089</w:t>
      </w:r>
      <w:r>
        <w:br/>
      </w:r>
      <w:r>
        <w:rPr>
          <w:bCs/>
          <w:b/>
        </w:rPr>
        <w:t xml:space="preserve">Location:</w:t>
      </w:r>
      <w:r>
        <w:t xml:space="preserve"> </w:t>
      </w:r>
      <w:r>
        <w:t xml:space="preserve">Seoul National University Hospital, Seoul, South Korea</w:t>
      </w:r>
      <w:r>
        <w:br/>
      </w:r>
      <w:r>
        <w:rPr>
          <w:bCs/>
          <w:b/>
        </w:rPr>
        <w:t xml:space="preserve">Department:</w:t>
      </w:r>
      <w:r>
        <w:t xml:space="preserve"> </w:t>
      </w:r>
      <w:r>
        <w:t xml:space="preserve">Department of Biomedical Engineering</w:t>
      </w:r>
    </w:p>
    <w:p>
      <w:pPr>
        <w:pStyle w:val="BodyText"/>
      </w:pPr>
      <w:r>
        <w:rPr>
          <w:bCs/>
          <w:b/>
        </w:rPr>
        <w:t xml:space="preserve">Date:</w:t>
      </w:r>
      <w:r>
        <w:t xml:space="preserve"> </w:t>
      </w:r>
      <w:r>
        <w:t xml:space="preserve">October 24, 2024</w:t>
      </w:r>
      <w:r>
        <w:br/>
      </w:r>
      <w:r>
        <w:rPr>
          <w:bCs/>
          <w:b/>
        </w:rPr>
        <w:t xml:space="preserve">Principal Investigator:</w:t>
      </w:r>
      <w:r>
        <w:t xml:space="preserve"> </w:t>
      </w:r>
      <w:r>
        <w:t xml:space="preserve">Dr. Min-Jae Kim</w:t>
      </w:r>
      <w:r>
        <w:br/>
      </w:r>
      <w:r>
        <w:rPr>
          <w:bCs/>
          <w:b/>
        </w:rPr>
        <w:t xml:space="preserve">Status:</w:t>
      </w:r>
      <w:r>
        <w:t xml:space="preserve"> </w:t>
      </w:r>
      <w:r>
        <w:t xml:space="preserve">Approved by IRB</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evaluation of a novel non-invasive neural interface device designed for stroke rehabilitation. As a leading hub for medical innovation,</w:t>
      </w:r>
      <w:r>
        <w:t xml:space="preserve"> </w:t>
      </w:r>
      <w:r>
        <w:rPr>
          <w:bCs/>
          <w:b/>
        </w:rPr>
        <w:t xml:space="preserve">South Korea Seoul</w:t>
      </w:r>
      <w:r>
        <w:t xml:space="preserve"> </w:t>
      </w:r>
      <w:r>
        <w:t xml:space="preserve">provides a unique environment for this research, combining advanced technological infrastructure with a highly regulated healthcare system. The primary objective is to assess the safety, efficacy, and signal fidelity of the device in human subjects under the supervision of a qualified</w:t>
      </w:r>
      <w:r>
        <w:t xml:space="preserve"> </w:t>
      </w:r>
      <w:r>
        <w:rPr>
          <w:bCs/>
          <w:b/>
        </w:rPr>
        <w:t xml:space="preserve">Biomedical Engineer</w:t>
      </w:r>
      <w:r>
        <w:t xml:space="preserve">.</w:t>
      </w:r>
    </w:p>
    <w:p>
      <w:pPr>
        <w:pStyle w:val="BodyText"/>
      </w:pPr>
      <w:r>
        <w:t xml:space="preserve">The role of the</w:t>
      </w:r>
      <w:r>
        <w:t xml:space="preserve"> </w:t>
      </w:r>
      <w:r>
        <w:rPr>
          <w:bCs/>
          <w:b/>
        </w:rPr>
        <w:t xml:space="preserve">Biomedical Engineer</w:t>
      </w:r>
      <w:r>
        <w:t xml:space="preserve"> </w:t>
      </w:r>
      <w:r>
        <w:t xml:space="preserve">in this protocol is critical. They are responsible not only for the technical calibration of the neural interface but also for ensuring that the device adheres to the stringent safety standards mandated by the Korean Ministry of Food and Drug Safety (MFDS). This document serves as the definitive guide for all personnel involved in the study, ensuring reproducibility, ethical compliance, and data integrity.</w:t>
      </w:r>
    </w:p>
    <w:bookmarkEnd w:id="20"/>
    <w:bookmarkStart w:id="21" w:name="X74d2777531fe9bf0b923c9f7177cf2b369463da"/>
    <w:p>
      <w:pPr>
        <w:pStyle w:val="Heading2"/>
      </w:pPr>
      <w:r>
        <w:t xml:space="preserve">2. Regulatory Compliance and Ethical Considerations</w:t>
      </w:r>
    </w:p>
    <w:p>
      <w:pPr>
        <w:pStyle w:val="FirstParagraph"/>
      </w:pPr>
      <w:r>
        <w:t xml:space="preserve">Conducting biomedical research in</w:t>
      </w:r>
      <w:r>
        <w:t xml:space="preserve"> </w:t>
      </w:r>
      <w:r>
        <w:rPr>
          <w:bCs/>
          <w:b/>
        </w:rPr>
        <w:t xml:space="preserve">South Korea Seoul</w:t>
      </w:r>
      <w:r>
        <w:t xml:space="preserve"> </w:t>
      </w:r>
      <w:r>
        <w:t xml:space="preserve">requires strict adherence to national and international guidelines. This protocol has been reviewed and approved by the Institutional Review Board (IRB) of the host institution in Seoul. All procedures comply with the Declaration of Helsinki and the Korean Bioethics and Safety Act.</w:t>
      </w:r>
    </w:p>
    <w:p>
      <w:pPr>
        <w:pStyle w:val="BodyText"/>
      </w:pPr>
      <w:r>
        <w:t xml:space="preserve">The</w:t>
      </w:r>
      <w:r>
        <w:t xml:space="preserve"> </w:t>
      </w:r>
      <w:r>
        <w:rPr>
          <w:bCs/>
          <w:b/>
        </w:rPr>
        <w:t xml:space="preserve">Biomedical Engineer</w:t>
      </w:r>
      <w:r>
        <w:t xml:space="preserve"> </w:t>
      </w:r>
      <w:r>
        <w:t xml:space="preserve">must ensure that all equipment used is certified under the Medical Device Act of South Korea. Specifically, the neural interface device must possess the necessary Investigational New Drug (IND) approval or equivalent exemption for clinical trials. Patient privacy is paramount; all data collected will be anonymized in accordance with the Personal Information Protection Act (PIPA), which is rigorously enforced in Seoul's medical sector.</w:t>
      </w:r>
    </w:p>
    <w:bookmarkEnd w:id="21"/>
    <w:bookmarkStart w:id="22" w:name="personnel-and-responsibilities"/>
    <w:p>
      <w:pPr>
        <w:pStyle w:val="Heading2"/>
      </w:pPr>
      <w:r>
        <w:t xml:space="preserve">3. Personnel and Responsibilities</w:t>
      </w:r>
    </w:p>
    <w:p>
      <w:pPr>
        <w:pStyle w:val="FirstParagraph"/>
      </w:pPr>
      <w:r>
        <w:t xml:space="preserve">The research team is multidisciplinary, reflecting the collaborative nature of modern biomedical engineering. The key roles include:</w:t>
      </w:r>
    </w:p>
    <w:p>
      <w:pPr>
        <w:numPr>
          <w:ilvl w:val="0"/>
          <w:numId w:val="1001"/>
        </w:numPr>
        <w:pStyle w:val="Compact"/>
      </w:pPr>
      <w:r>
        <w:rPr>
          <w:bCs/>
          <w:b/>
        </w:rPr>
        <w:t xml:space="preserve">Principal Investigator (PI):</w:t>
      </w:r>
      <w:r>
        <w:t xml:space="preserve"> </w:t>
      </w:r>
      <w:r>
        <w:t xml:space="preserve">Oversees the entire study, ensures regulatory compliance, and holds ultimate responsibility for patient safety.</w:t>
      </w:r>
    </w:p>
    <w:p>
      <w:pPr>
        <w:numPr>
          <w:ilvl w:val="0"/>
          <w:numId w:val="1001"/>
        </w:numPr>
        <w:pStyle w:val="Compact"/>
      </w:pPr>
      <w:r>
        <w:rPr>
          <w:bCs/>
          <w:b/>
        </w:rPr>
        <w:t xml:space="preserve">Biomedical Engineer:</w:t>
      </w:r>
      <w:r>
        <w:t xml:space="preserve"> </w:t>
      </w:r>
      <w:r>
        <w:t xml:space="preserve">Responsible for device setup, calibration, real-time monitoring of signal quality, troubleshooting hardware issues, and maintaining technical logs. The engineer must be proficient in Korean medical device regulations.</w:t>
      </w:r>
    </w:p>
    <w:p>
      <w:pPr>
        <w:numPr>
          <w:ilvl w:val="0"/>
          <w:numId w:val="1001"/>
        </w:numPr>
        <w:pStyle w:val="Compact"/>
      </w:pPr>
      <w:r>
        <w:rPr>
          <w:bCs/>
          <w:b/>
        </w:rPr>
        <w:t xml:space="preserve">Clinical Staff:</w:t>
      </w:r>
      <w:r>
        <w:t xml:space="preserve"> </w:t>
      </w:r>
      <w:r>
        <w:t xml:space="preserve">Physicians and nurses responsible for patient screening, consent, and clinical assessment.</w:t>
      </w:r>
    </w:p>
    <w:p>
      <w:pPr>
        <w:numPr>
          <w:ilvl w:val="0"/>
          <w:numId w:val="1001"/>
        </w:numPr>
        <w:pStyle w:val="Compact"/>
      </w:pPr>
      <w:r>
        <w:rPr>
          <w:bCs/>
          <w:b/>
        </w:rPr>
        <w:t xml:space="preserve">Data Manager:</w:t>
      </w:r>
      <w:r>
        <w:t xml:space="preserve"> </w:t>
      </w:r>
      <w:r>
        <w:t xml:space="preserve">Ensures secure storage and analysis of data in compliance with Seoul's data protection laws.</w:t>
      </w:r>
    </w:p>
    <w:bookmarkEnd w:id="22"/>
    <w:bookmarkStart w:id="23" w:name="experimental-setup-and-equipment"/>
    <w:p>
      <w:pPr>
        <w:pStyle w:val="Heading2"/>
      </w:pPr>
      <w:r>
        <w:t xml:space="preserve">4. Experimental Setup and Equipment</w:t>
      </w:r>
    </w:p>
    <w:p>
      <w:pPr>
        <w:pStyle w:val="FirstParagraph"/>
      </w:pPr>
      <w:r>
        <w:t xml:space="preserve">The experiment will take place in a controlled electromagnetic environment within the research wing of a major hospital in</w:t>
      </w:r>
      <w:r>
        <w:t xml:space="preserve"> </w:t>
      </w:r>
      <w:r>
        <w:rPr>
          <w:bCs/>
          <w:b/>
        </w:rPr>
        <w:t xml:space="preserve">South Korea Seoul</w:t>
      </w:r>
      <w:r>
        <w:t xml:space="preserve">. The setup includes:</w:t>
      </w:r>
    </w:p>
    <w:p>
      <w:pPr>
        <w:numPr>
          <w:ilvl w:val="0"/>
          <w:numId w:val="1002"/>
        </w:numPr>
        <w:pStyle w:val="Compact"/>
      </w:pPr>
      <w:r>
        <w:t xml:space="preserve">High-density EEG cap with dry electrodes.</w:t>
      </w:r>
    </w:p>
    <w:p>
      <w:pPr>
        <w:numPr>
          <w:ilvl w:val="0"/>
          <w:numId w:val="1002"/>
        </w:numPr>
        <w:pStyle w:val="Compact"/>
      </w:pPr>
      <w:r>
        <w:t xml:space="preserve">Portable signal acquisition unit (FDA and MFDS cleared).</w:t>
      </w:r>
    </w:p>
    <w:p>
      <w:pPr>
        <w:numPr>
          <w:ilvl w:val="0"/>
          <w:numId w:val="1002"/>
        </w:numPr>
        <w:pStyle w:val="Compact"/>
      </w:pPr>
      <w:r>
        <w:t xml:space="preserve">Real-time processing workstation running custom algorithms developed by the</w:t>
      </w:r>
      <w:r>
        <w:t xml:space="preserve"> </w:t>
      </w:r>
      <w:r>
        <w:rPr>
          <w:bCs/>
          <w:b/>
        </w:rPr>
        <w:t xml:space="preserve">Biomedical Engineer</w:t>
      </w:r>
      <w:r>
        <w:t xml:space="preserve">.</w:t>
      </w:r>
    </w:p>
    <w:p>
      <w:pPr>
        <w:numPr>
          <w:ilvl w:val="0"/>
          <w:numId w:val="1002"/>
        </w:numPr>
        <w:pStyle w:val="Compact"/>
      </w:pPr>
      <w:r>
        <w:t xml:space="preserve">Emergency stop mechanisms and backup power supplies.</w:t>
      </w:r>
    </w:p>
    <w:p>
      <w:pPr>
        <w:pStyle w:val="FirstParagraph"/>
      </w:pPr>
      <w:r>
        <w:t xml:space="preserve">Prior to each session, the</w:t>
      </w:r>
      <w:r>
        <w:t xml:space="preserve"> </w:t>
      </w:r>
      <w:r>
        <w:rPr>
          <w:bCs/>
          <w:b/>
        </w:rPr>
        <w:t xml:space="preserve">Biomedical Engineer</w:t>
      </w:r>
      <w:r>
        <w:t xml:space="preserve"> </w:t>
      </w:r>
      <w:r>
        <w:t xml:space="preserve">must perform a comprehensive system check. This includes verifying electrode impedance, testing signal-to-noise ratios, and ensuring that all software parameters are within the predefined safety limits. Any deviation must be documented and resolved before patient interaction.</w:t>
      </w:r>
    </w:p>
    <w:bookmarkEnd w:id="23"/>
    <w:bookmarkStart w:id="24" w:name="subject-selection-and-informed-consent"/>
    <w:p>
      <w:pPr>
        <w:pStyle w:val="Heading2"/>
      </w:pPr>
      <w:r>
        <w:t xml:space="preserve">5. Subject Selection and Informed Consent</w:t>
      </w:r>
    </w:p>
    <w:p>
      <w:pPr>
        <w:pStyle w:val="FirstParagraph"/>
      </w:pPr>
      <w:r>
        <w:t xml:space="preserve">Participants will be recruited from the stroke rehabilitation unit. Inclusion criteria include age 18-70, diagnosed with ischemic stroke within the last 6 months, and stable neurological status. Exclusion criteria include severe cognitive impairment, metal implants, or active skin infections.</w:t>
      </w:r>
    </w:p>
    <w:p>
      <w:pPr>
        <w:pStyle w:val="BodyText"/>
      </w:pPr>
      <w:r>
        <w:t xml:space="preserve">Informed consent will be obtained in Korean, ensuring that participants fully understand the risks and benefits. The</w:t>
      </w:r>
      <w:r>
        <w:t xml:space="preserve"> </w:t>
      </w:r>
      <w:r>
        <w:rPr>
          <w:bCs/>
          <w:b/>
        </w:rPr>
        <w:t xml:space="preserve">Biomedical Engineer</w:t>
      </w:r>
      <w:r>
        <w:t xml:space="preserve"> </w:t>
      </w:r>
      <w:r>
        <w:t xml:space="preserve">will assist in explaining the technical aspects of the device in layman's terms to ensure transparency.</w:t>
      </w:r>
    </w:p>
    <w:bookmarkEnd w:id="24"/>
    <w:bookmarkStart w:id="25" w:name="experimental-procedure"/>
    <w:p>
      <w:pPr>
        <w:pStyle w:val="Heading2"/>
      </w:pPr>
      <w:r>
        <w:t xml:space="preserve">6. Experimental Procedure</w:t>
      </w:r>
    </w:p>
    <w:p>
      <w:pPr>
        <w:pStyle w:val="FirstParagraph"/>
      </w:pPr>
      <w:r>
        <w:t xml:space="preserve">The protocol consists of three phases:</w:t>
      </w:r>
    </w:p>
    <w:p>
      <w:pPr>
        <w:numPr>
          <w:ilvl w:val="0"/>
          <w:numId w:val="1003"/>
        </w:numPr>
        <w:pStyle w:val="Compact"/>
      </w:pPr>
      <w:r>
        <w:rPr>
          <w:bCs/>
          <w:b/>
        </w:rPr>
        <w:t xml:space="preserve">Baseline Assessment:</w:t>
      </w:r>
      <w:r>
        <w:t xml:space="preserve"> </w:t>
      </w:r>
      <w:r>
        <w:t xml:space="preserve">Clinical evaluation and initial EEG recording without device stimulation.</w:t>
      </w:r>
    </w:p>
    <w:p>
      <w:pPr>
        <w:numPr>
          <w:ilvl w:val="0"/>
          <w:numId w:val="1003"/>
        </w:numPr>
        <w:pStyle w:val="Compact"/>
      </w:pPr>
      <w:r>
        <w:rPr>
          <w:bCs/>
          <w:b/>
        </w:rPr>
        <w:t xml:space="preserve">Device Calibration:</w:t>
      </w:r>
      <w:r>
        <w:t xml:space="preserve"> </w:t>
      </w:r>
      <w:r>
        <w:t xml:space="preserve">The</w:t>
      </w:r>
      <w:r>
        <w:t xml:space="preserve"> </w:t>
      </w:r>
      <w:r>
        <w:rPr>
          <w:bCs/>
          <w:b/>
        </w:rPr>
        <w:t xml:space="preserve">Biomedical Engineer</w:t>
      </w:r>
      <w:r>
        <w:t xml:space="preserve"> </w:t>
      </w:r>
      <w:r>
        <w:t xml:space="preserve">will calibrate the neural interface to the individual's brain activity patterns. This phase involves motor imagery tasks to map neural signals.</w:t>
      </w:r>
    </w:p>
    <w:p>
      <w:pPr>
        <w:numPr>
          <w:ilvl w:val="0"/>
          <w:numId w:val="1003"/>
        </w:numPr>
        <w:pStyle w:val="Compact"/>
      </w:pPr>
      <w:r>
        <w:rPr>
          <w:bCs/>
          <w:b/>
        </w:rPr>
        <w:t xml:space="preserve">Intervention:</w:t>
      </w:r>
      <w:r>
        <w:t xml:space="preserve"> </w:t>
      </w:r>
      <w:r>
        <w:t xml:space="preserve">Participants will undergo a 30-minute session of closed-loop neurofeedback therapy. The</w:t>
      </w:r>
      <w:r>
        <w:t xml:space="preserve"> </w:t>
      </w:r>
      <w:r>
        <w:rPr>
          <w:bCs/>
          <w:b/>
        </w:rPr>
        <w:t xml:space="preserve">Biomedical Engineer</w:t>
      </w:r>
      <w:r>
        <w:t xml:space="preserve"> </w:t>
      </w:r>
      <w:r>
        <w:t xml:space="preserve">will monitor the system in real-time, adjusting parameters as needed to maintain optimal performance and safety.</w:t>
      </w:r>
    </w:p>
    <w:p>
      <w:pPr>
        <w:pStyle w:val="FirstParagraph"/>
      </w:pPr>
      <w:r>
        <w:t xml:space="preserve">Throughout the procedure, the</w:t>
      </w:r>
      <w:r>
        <w:t xml:space="preserve"> </w:t>
      </w:r>
      <w:r>
        <w:rPr>
          <w:bCs/>
          <w:b/>
        </w:rPr>
        <w:t xml:space="preserve">Biomedical Engineer</w:t>
      </w:r>
      <w:r>
        <w:t xml:space="preserve"> </w:t>
      </w:r>
      <w:r>
        <w:t xml:space="preserve">must remain vigilant for any signs of device malfunction or adverse events. Immediate cessation of the experiment is required if safety thresholds are breached.</w:t>
      </w:r>
    </w:p>
    <w:bookmarkEnd w:id="25"/>
    <w:bookmarkStart w:id="26" w:name="data-management-and-analysis"/>
    <w:p>
      <w:pPr>
        <w:pStyle w:val="Heading2"/>
      </w:pPr>
      <w:r>
        <w:t xml:space="preserve">7. Data Management and Analysis</w:t>
      </w:r>
    </w:p>
    <w:p>
      <w:pPr>
        <w:pStyle w:val="FirstParagraph"/>
      </w:pPr>
      <w:r>
        <w:t xml:space="preserve">All data will be stored on secure servers located within</w:t>
      </w:r>
      <w:r>
        <w:t xml:space="preserve"> </w:t>
      </w:r>
      <w:r>
        <w:rPr>
          <w:bCs/>
          <w:b/>
        </w:rPr>
        <w:t xml:space="preserve">South Korea Seoul</w:t>
      </w:r>
      <w:r>
        <w:t xml:space="preserve">, ensuring compliance with local data sovereignty laws. The</w:t>
      </w:r>
      <w:r>
        <w:t xml:space="preserve"> </w:t>
      </w:r>
      <w:r>
        <w:rPr>
          <w:bCs/>
          <w:b/>
        </w:rPr>
        <w:t xml:space="preserve">Biomedical Engineer</w:t>
      </w:r>
      <w:r>
        <w:t xml:space="preserve"> </w:t>
      </w:r>
      <w:r>
        <w:t xml:space="preserve">will preprocess the raw neural signals to remove artifacts and extract relevant features. Statistical analysis will be performed to evaluate the efficacy of the intervention.</w:t>
      </w:r>
    </w:p>
    <w:bookmarkEnd w:id="26"/>
    <w:bookmarkStart w:id="27" w:name="safety-and-emergency-procedures"/>
    <w:p>
      <w:pPr>
        <w:pStyle w:val="Heading2"/>
      </w:pPr>
      <w:r>
        <w:t xml:space="preserve">8. Safety and Emergency Procedures</w:t>
      </w:r>
    </w:p>
    <w:p>
      <w:pPr>
        <w:pStyle w:val="FirstParagraph"/>
      </w:pPr>
      <w:r>
        <w:t xml:space="preserve">Safety is the highest priority. The</w:t>
      </w:r>
      <w:r>
        <w:t xml:space="preserve"> </w:t>
      </w:r>
      <w:r>
        <w:rPr>
          <w:bCs/>
          <w:b/>
        </w:rPr>
        <w:t xml:space="preserve">Biomedical Engineer</w:t>
      </w:r>
      <w:r>
        <w:t xml:space="preserve"> </w:t>
      </w:r>
      <w:r>
        <w:t xml:space="preserve">must ensure that all electrical connections are insulated and grounded. In the event of a medical emergency, clinical staff will take immediate action, while the engineer will safely power down the device. A detailed incident report must be filed within 24 hours.</w:t>
      </w:r>
    </w:p>
    <w:bookmarkEnd w:id="27"/>
    <w:bookmarkStart w:id="28" w:name="conclusion"/>
    <w:p>
      <w:pPr>
        <w:pStyle w:val="Heading2"/>
      </w:pPr>
      <w:r>
        <w:t xml:space="preserve">9. Conclusion</w:t>
      </w:r>
    </w:p>
    <w:p>
      <w:pPr>
        <w:pStyle w:val="FirstParagraph"/>
      </w:pPr>
      <w:r>
        <w:t xml:space="preserve">This Experiment Protocol provides a comprehensive framework for conducting advanced biomedical engineering research in</w:t>
      </w:r>
      <w:r>
        <w:t xml:space="preserve"> </w:t>
      </w:r>
      <w:r>
        <w:rPr>
          <w:bCs/>
          <w:b/>
        </w:rPr>
        <w:t xml:space="preserve">South Korea Seoul</w:t>
      </w:r>
      <w:r>
        <w:t xml:space="preserve">. By adhering to these guidelines, the</w:t>
      </w:r>
      <w:r>
        <w:t xml:space="preserve"> </w:t>
      </w:r>
      <w:r>
        <w:rPr>
          <w:bCs/>
          <w:b/>
        </w:rPr>
        <w:t xml:space="preserve">Biomedical Engineer</w:t>
      </w:r>
      <w:r>
        <w:t xml:space="preserve"> </w:t>
      </w:r>
      <w:r>
        <w:t xml:space="preserve">and the research team can ensure the highest standards of safety, ethics, and scientific rigor, contributing to the advancement of medical technology in one of the world's leading healthcare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Seoul</dc:title>
  <dc:creator/>
  <dc:language>en</dc:language>
  <cp:keywords/>
  <dcterms:created xsi:type="dcterms:W3CDTF">2026-10-10T06:26:11Z</dcterms:created>
  <dcterms:modified xsi:type="dcterms:W3CDTF">2026-10-10T06:26:11Z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