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Sudan</w:t>
      </w:r>
      <w:r>
        <w:t xml:space="preserve"> </w:t>
      </w:r>
      <w:r>
        <w:t xml:space="preserve">Khartoum</w:t>
      </w:r>
    </w:p>
    <w:bookmarkStart w:id="33" w:name="Xbc297c34dc359ba0f3439c273742d6329d91243"/>
    <w:p>
      <w:pPr>
        <w:pStyle w:val="Heading1"/>
      </w:pPr>
      <w:r>
        <w:t xml:space="preserve">Experiment Protocol: Biomedical Engineering Field Study in Sudan Khartoum</w:t>
      </w:r>
    </w:p>
    <w:p>
      <w:pPr>
        <w:pStyle w:val="FirstParagraph"/>
      </w:pPr>
      <w:r>
        <w:rPr>
          <w:bCs/>
          <w:b/>
        </w:rPr>
        <w:t xml:space="preserve">Protocol ID:</w:t>
      </w:r>
      <w:r>
        <w:t xml:space="preserve"> </w:t>
      </w:r>
      <w:r>
        <w:t xml:space="preserve">BE-SUD-KRT-2024-001</w:t>
      </w:r>
    </w:p>
    <w:p>
      <w:pPr>
        <w:pStyle w:val="BodyText"/>
      </w:pPr>
      <w:r>
        <w:rPr>
          <w:bCs/>
          <w:b/>
        </w:rPr>
        <w:t xml:space="preserve">Location:</w:t>
      </w:r>
      <w:r>
        <w:t xml:space="preserve"> </w:t>
      </w:r>
      <w:r>
        <w:t xml:space="preserve">Khartoum, Sudan</w:t>
      </w:r>
    </w:p>
    <w:p>
      <w:pPr>
        <w:pStyle w:val="BodyText"/>
      </w:pPr>
      <w:r>
        <w:rPr>
          <w:bCs/>
          <w:b/>
        </w:rPr>
        <w:t xml:space="preserve">Discipline:</w:t>
      </w:r>
      <w:r>
        <w:t xml:space="preserve"> </w:t>
      </w:r>
      <w:r>
        <w:t xml:space="preserve">Biomedical Engineering</w:t>
      </w:r>
    </w:p>
    <w:p>
      <w:pPr>
        <w:pStyle w:val="BodyText"/>
      </w:pPr>
      <w:r>
        <w:rPr>
          <w:bCs/>
          <w:b/>
        </w:rPr>
        <w:t xml:space="preserve">Date of Issue:</w:t>
      </w:r>
      <w:r>
        <w:t xml:space="preserve"> </w:t>
      </w:r>
      <w:r>
        <w:t xml:space="preserve">October 2024</w:t>
      </w:r>
    </w:p>
    <w:p>
      <w:pPr>
        <w:pStyle w:val="BodyText"/>
      </w:pPr>
      <w:r>
        <w:rPr>
          <w:bCs/>
          <w:b/>
        </w:rPr>
        <w:t xml:space="preserve">Principal Investigator:</w:t>
      </w:r>
      <w:r>
        <w:t xml:space="preserve"> </w:t>
      </w:r>
      <w:r>
        <w:t xml:space="preserve">[Name of Biomedical Engineer]</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a field study conducted by a Biomedical Engineer in the Khartoum region of Sudan. The primary objective of this study is to evaluate the reliability, usability, and environmental resilience of low-cost, portable diagnostic medical devices under the specific climatic and infrastructural conditions found in Sudan Khartoum.</w:t>
      </w:r>
    </w:p>
    <w:p>
      <w:pPr>
        <w:pStyle w:val="BodyText"/>
      </w:pPr>
      <w:r>
        <w:t xml:space="preserve">Biomedical Engineering in developing regions often faces unique challenges, including power instability, high ambient temperatures, and dust exposure. This protocol is designed to address these variables systematically. The study focuses on the deployment of prototype electrocardiogram (ECG) monitors and pulse oximeters intended for use in rural clinics and mobile health units within the Khartoum state. By rigorously testing these devices, the Biomedical Engineer aims to ensure that the technology meets the safety and efficacy standards required for clinical use in this specific geographic context.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operational stability of biomedical devices under high-temperature conditions typical of Sudan Khartoum (exceeding 40°C).</w:t>
      </w:r>
    </w:p>
    <w:p>
      <w:pPr>
        <w:numPr>
          <w:ilvl w:val="0"/>
          <w:numId w:val="1001"/>
        </w:numPr>
        <w:pStyle w:val="Compact"/>
      </w:pPr>
      <w:r>
        <w:t xml:space="preserve">To evaluate the impact of intermittent power supply on device battery life and data integrity.</w:t>
      </w:r>
    </w:p>
    <w:p>
      <w:pPr>
        <w:numPr>
          <w:ilvl w:val="0"/>
          <w:numId w:val="1001"/>
        </w:numPr>
        <w:pStyle w:val="Compact"/>
      </w:pPr>
      <w:r>
        <w:t xml:space="preserve">To determine the usability of the device interface for local healthcare providers with varying levels of technical training.</w:t>
      </w:r>
    </w:p>
    <w:p>
      <w:pPr>
        <w:numPr>
          <w:ilvl w:val="0"/>
          <w:numId w:val="1001"/>
        </w:numPr>
        <w:pStyle w:val="Compact"/>
      </w:pPr>
      <w:r>
        <w:t xml:space="preserve">To validate the accuracy of diagnostic readings against gold-standard reference equipment in a clinical setting.</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performance data with qualitative user feedback. The study will be conducted over a period of six weeks at a designated teaching hospital in Khartoum and two satellite clinics in the surrounding areas.</w:t>
      </w:r>
    </w:p>
    <w:bookmarkEnd w:id="22"/>
    <w:bookmarkStart w:id="23" w:name="equipment-and-materials"/>
    <w:p>
      <w:pPr>
        <w:pStyle w:val="Heading3"/>
      </w:pPr>
      <w:r>
        <w:t xml:space="preserve">3.2 Equipment and Materials</w:t>
      </w:r>
    </w:p>
    <w:p>
      <w:pPr>
        <w:pStyle w:val="FirstParagraph"/>
      </w:pPr>
      <w:r>
        <w:t xml:space="preserve">The Biomedical Engineer will oversee the preparation of the following equipment:</w:t>
      </w:r>
    </w:p>
    <w:p>
      <w:pPr>
        <w:numPr>
          <w:ilvl w:val="0"/>
          <w:numId w:val="1002"/>
        </w:numPr>
        <w:pStyle w:val="Compact"/>
      </w:pPr>
      <w:r>
        <w:rPr>
          <w:bCs/>
          <w:b/>
        </w:rPr>
        <w:t xml:space="preserve">Test Devices:</w:t>
      </w:r>
      <w:r>
        <w:t xml:space="preserve"> </w:t>
      </w:r>
      <w:r>
        <w:t xml:space="preserve">20 units of the prototype portable ECG monitor and 20 units of the pulse oximeter.</w:t>
      </w:r>
    </w:p>
    <w:p>
      <w:pPr>
        <w:numPr>
          <w:ilvl w:val="0"/>
          <w:numId w:val="1002"/>
        </w:numPr>
        <w:pStyle w:val="Compact"/>
      </w:pPr>
      <w:r>
        <w:rPr>
          <w:bCs/>
          <w:b/>
        </w:rPr>
        <w:t xml:space="preserve">Reference Standards:</w:t>
      </w:r>
      <w:r>
        <w:t xml:space="preserve"> </w:t>
      </w:r>
      <w:r>
        <w:t xml:space="preserve">Hospital-grade ECG machines and calibrated pulse oximeters for comparative analysis.</w:t>
      </w:r>
    </w:p>
    <w:p>
      <w:pPr>
        <w:numPr>
          <w:ilvl w:val="0"/>
          <w:numId w:val="1002"/>
        </w:numPr>
        <w:pStyle w:val="Compact"/>
      </w:pPr>
      <w:r>
        <w:rPr>
          <w:bCs/>
          <w:b/>
        </w:rPr>
        <w:t xml:space="preserve">Environmental Sensors:</w:t>
      </w:r>
      <w:r>
        <w:t xml:space="preserve"> </w:t>
      </w:r>
      <w:r>
        <w:t xml:space="preserve">Data loggers to record ambient temperature, humidity, and dust levels at the testing sites.</w:t>
      </w:r>
    </w:p>
    <w:p>
      <w:pPr>
        <w:numPr>
          <w:ilvl w:val="0"/>
          <w:numId w:val="1002"/>
        </w:numPr>
        <w:pStyle w:val="Compact"/>
      </w:pPr>
      <w:r>
        <w:rPr>
          <w:bCs/>
          <w:b/>
        </w:rPr>
        <w:t xml:space="preserve">Power Supplies:</w:t>
      </w:r>
      <w:r>
        <w:t xml:space="preserve"> </w:t>
      </w:r>
      <w:r>
        <w:t xml:space="preserve">Standard wall adapters and backup battery packs to simulate local power conditions.</w:t>
      </w:r>
    </w:p>
    <w:bookmarkEnd w:id="23"/>
    <w:bookmarkStart w:id="24" w:name="participant-selection"/>
    <w:p>
      <w:pPr>
        <w:pStyle w:val="Heading3"/>
      </w:pPr>
      <w:r>
        <w:t xml:space="preserve">3.3 Participant Selection</w:t>
      </w:r>
    </w:p>
    <w:p>
      <w:pPr>
        <w:pStyle w:val="FirstParagraph"/>
      </w:pPr>
      <w:r>
        <w:t xml:space="preserve">Participants will include adult patients (aged 18-65) presenting for routine cardiac or respiratory checks. Inclusion criteria require informed consent and stable vital signs suitable for non-emergency monitoring. Exclusion criteria include severe skin conditions that may interfere with sensor placement or patients requiring immediate emergency intervention.</w:t>
      </w:r>
    </w:p>
    <w:bookmarkEnd w:id="24"/>
    <w:bookmarkEnd w:id="25"/>
    <w:bookmarkStart w:id="29" w:name="experimental-procedures"/>
    <w:p>
      <w:pPr>
        <w:pStyle w:val="Heading2"/>
      </w:pPr>
      <w:r>
        <w:t xml:space="preserve">4. Experimental Procedures</w:t>
      </w:r>
    </w:p>
    <w:bookmarkStart w:id="26" w:name="calibration-and-baseline-testing"/>
    <w:p>
      <w:pPr>
        <w:pStyle w:val="Heading3"/>
      </w:pPr>
      <w:r>
        <w:t xml:space="preserve">4.1 Calibration and Baseline Testing</w:t>
      </w:r>
    </w:p>
    <w:p>
      <w:pPr>
        <w:pStyle w:val="FirstParagraph"/>
      </w:pPr>
      <w:r>
        <w:t xml:space="preserve">Before deployment, the Biomedical Engineer must perform a rigorous calibration of all test devices in a controlled laboratory environment. This ensures that any deviations observed in the field are due to environmental factors rather than manufacturing defects. Baseline accuracy will be established by comparing test device readings with reference standards using a phantom load simulator.</w:t>
      </w:r>
    </w:p>
    <w:bookmarkEnd w:id="26"/>
    <w:bookmarkStart w:id="27" w:name="field-deployment-in-sudan-khartoum"/>
    <w:p>
      <w:pPr>
        <w:pStyle w:val="Heading3"/>
      </w:pPr>
      <w:r>
        <w:t xml:space="preserve">4.2 Field Deployment in Sudan Khartoum</w:t>
      </w:r>
    </w:p>
    <w:p>
      <w:pPr>
        <w:pStyle w:val="FirstParagraph"/>
      </w:pPr>
      <w:r>
        <w:t xml:space="preserve">Devices will be distributed to the selected clinics. The Biomedical Engineer will conduct training sessions for local nurses and technicians, focusing on proper device handling, sensor placement, and basic troubleshooting. This training is crucial to ensure that the data collected reflects device performance rather than user error.</w:t>
      </w:r>
    </w:p>
    <w:bookmarkEnd w:id="27"/>
    <w:bookmarkStart w:id="28" w:name="data-collection-protocol"/>
    <w:p>
      <w:pPr>
        <w:pStyle w:val="Heading3"/>
      </w:pPr>
      <w:r>
        <w:t xml:space="preserve">4.3 Data Collection Protocol</w:t>
      </w:r>
    </w:p>
    <w:p>
      <w:pPr>
        <w:pStyle w:val="FirstParagraph"/>
      </w:pPr>
      <w:r>
        <w:t xml:space="preserve">During the six-week period, the following data will be collected:</w:t>
      </w:r>
    </w:p>
    <w:p>
      <w:pPr>
        <w:numPr>
          <w:ilvl w:val="0"/>
          <w:numId w:val="1003"/>
        </w:numPr>
        <w:pStyle w:val="Compact"/>
      </w:pPr>
      <w:r>
        <w:rPr>
          <w:bCs/>
          <w:b/>
        </w:rPr>
        <w:t xml:space="preserve">Clinical Data:</w:t>
      </w:r>
      <w:r>
        <w:t xml:space="preserve"> </w:t>
      </w:r>
      <w:r>
        <w:t xml:space="preserve">Simultaneous readings from the test device and the reference standard for each patient.</w:t>
      </w:r>
    </w:p>
    <w:p>
      <w:pPr>
        <w:numPr>
          <w:ilvl w:val="0"/>
          <w:numId w:val="1003"/>
        </w:numPr>
        <w:pStyle w:val="Compact"/>
      </w:pPr>
      <w:r>
        <w:rPr>
          <w:bCs/>
          <w:b/>
        </w:rPr>
        <w:t xml:space="preserve">Environmental Data:</w:t>
      </w:r>
      <w:r>
        <w:t xml:space="preserve"> </w:t>
      </w:r>
      <w:r>
        <w:t xml:space="preserve">Continuous logging of temperature and humidity to correlate with device performance.</w:t>
      </w:r>
    </w:p>
    <w:p>
      <w:pPr>
        <w:numPr>
          <w:ilvl w:val="0"/>
          <w:numId w:val="1003"/>
        </w:numPr>
        <w:pStyle w:val="Compact"/>
      </w:pPr>
      <w:r>
        <w:rPr>
          <w:bCs/>
          <w:b/>
        </w:rPr>
        <w:t xml:space="preserve">Operational Logs:</w:t>
      </w:r>
      <w:r>
        <w:t xml:space="preserve"> </w:t>
      </w:r>
      <w:r>
        <w:t xml:space="preserve">Records of device downtime, battery failures, or software errors reported by clinic staff.</w:t>
      </w:r>
    </w:p>
    <w:p>
      <w:pPr>
        <w:pStyle w:val="FirstParagraph"/>
      </w:pPr>
      <w:r>
        <w:t xml:space="preserve">Special attention will be paid to the "heat stress" periods of the day in Khartoum, where ambient temperatures peak. The Biomedical Engineer will schedule specific observation times during these peaks to monitor for thermal shutdowns or sensor drift.</w:t>
      </w:r>
    </w:p>
    <w:bookmarkEnd w:id="28"/>
    <w:bookmarkEnd w:id="29"/>
    <w:bookmarkStart w:id="30" w:name="safety-and-ethical-considerations"/>
    <w:p>
      <w:pPr>
        <w:pStyle w:val="Heading2"/>
      </w:pPr>
      <w:r>
        <w:t xml:space="preserve">5. Safety and Ethical Considerations</w:t>
      </w:r>
    </w:p>
    <w:p>
      <w:pPr>
        <w:pStyle w:val="FirstParagraph"/>
      </w:pPr>
      <w:r>
        <w:t xml:space="preserve">This protocol adheres to the Declaration of Helsinki and local ethical guidelines in Sudan. All participants must provide written informed consent in a language they understand. Patient confidentiality will be strictly maintained; all data will be anonymized using unique identification codes.</w:t>
      </w:r>
    </w:p>
    <w:p>
      <w:pPr>
        <w:pStyle w:val="BodyText"/>
      </w:pPr>
      <w:r>
        <w:t xml:space="preserve">Safety is paramount. The Biomedical Engineer is responsible for ensuring that all electrical equipment meets international safety standards (IEC 60601) to prevent electric shock or fire hazards, particularly given the potential for unstable power grids in Khartoum. In the event of a device malfunction that could compromise patient safety, the device must be immediately removed from service and replaced with a standard hospital unit.</w:t>
      </w:r>
    </w:p>
    <w:bookmarkEnd w:id="30"/>
    <w:bookmarkStart w:id="31" w:name="data-analysis"/>
    <w:p>
      <w:pPr>
        <w:pStyle w:val="Heading2"/>
      </w:pPr>
      <w:r>
        <w:t xml:space="preserve">6. Data Analysis</w:t>
      </w:r>
    </w:p>
    <w:p>
      <w:pPr>
        <w:pStyle w:val="FirstParagraph"/>
      </w:pPr>
      <w:r>
        <w:t xml:space="preserve">Upon completion of the field study, the Biomedical Engineer will analyze the collected data using statistical software. Key metrics will include:</w:t>
      </w:r>
    </w:p>
    <w:p>
      <w:pPr>
        <w:numPr>
          <w:ilvl w:val="0"/>
          <w:numId w:val="1004"/>
        </w:numPr>
        <w:pStyle w:val="Compact"/>
      </w:pPr>
      <w:r>
        <w:rPr>
          <w:bCs/>
          <w:b/>
        </w:rPr>
        <w:t xml:space="preserve">Accuracy Rate:</w:t>
      </w:r>
      <w:r>
        <w:t xml:space="preserve"> </w:t>
      </w:r>
      <w:r>
        <w:t xml:space="preserve">The percentage of test device readings within an acceptable margin of error compared to the reference standard.</w:t>
      </w:r>
    </w:p>
    <w:p>
      <w:pPr>
        <w:numPr>
          <w:ilvl w:val="0"/>
          <w:numId w:val="1004"/>
        </w:numPr>
        <w:pStyle w:val="Compact"/>
      </w:pPr>
      <w:r>
        <w:rPr>
          <w:bCs/>
          <w:b/>
        </w:rPr>
        <w:t xml:space="preserve">Reliability Index:</w:t>
      </w:r>
      <w:r>
        <w:t xml:space="preserve"> </w:t>
      </w:r>
      <w:r>
        <w:t xml:space="preserve">The mean time between failures (MTBF) under field conditions.</w:t>
      </w:r>
    </w:p>
    <w:p>
      <w:pPr>
        <w:numPr>
          <w:ilvl w:val="0"/>
          <w:numId w:val="1004"/>
        </w:numPr>
        <w:pStyle w:val="Compact"/>
      </w:pPr>
      <w:r>
        <w:rPr>
          <w:bCs/>
          <w:b/>
        </w:rPr>
        <w:t xml:space="preserve">Environmental Correlation:</w:t>
      </w:r>
      <w:r>
        <w:t xml:space="preserve"> </w:t>
      </w:r>
      <w:r>
        <w:t xml:space="preserve">Statistical analysis of the relationship between ambient temperature/dust levels and device error rates.</w:t>
      </w:r>
    </w:p>
    <w:p>
      <w:pPr>
        <w:pStyle w:val="FirstParagraph"/>
      </w:pPr>
      <w:r>
        <w:t xml:space="preserve">Qualitative feedback from healthcare providers will be coded and analyzed to identify usability issues and suggestions for design improvement.</w:t>
      </w:r>
    </w:p>
    <w:bookmarkEnd w:id="31"/>
    <w:bookmarkStart w:id="32" w:name="conclusion-and-reporting"/>
    <w:p>
      <w:pPr>
        <w:pStyle w:val="Heading2"/>
      </w:pPr>
      <w:r>
        <w:t xml:space="preserve">7. Conclusion and Reporting</w:t>
      </w:r>
    </w:p>
    <w:p>
      <w:pPr>
        <w:pStyle w:val="FirstParagraph"/>
      </w:pPr>
      <w:r>
        <w:t xml:space="preserve">The findings of this experiment will be compiled into a final report detailing the suitability of the biomedical devices for deployment in Sudan Khartoum. Recommendations will be made regarding necessary design modifications to enhance durability and usability in similar environments. This protocol serves as a critical step in bridging the gap between advanced biomedical engineering and accessible healthcare solutions in developing regions.</w:t>
      </w:r>
    </w:p>
    <w:bookmarkEnd w:id="32"/>
    <w:p>
      <w:pPr>
        <w:pStyle w:val="BodyText"/>
      </w:pPr>
      <w:r>
        <w:rPr>
          <w:bCs/>
          <w:b/>
        </w:rPr>
        <w:t xml:space="preserve">Note:</w:t>
      </w:r>
      <w:r>
        <w:t xml:space="preserve"> </w:t>
      </w:r>
      <w:r>
        <w:t xml:space="preserve">This protocol is subject to review and approval by the relevant institutional review board in Khartoum prior to the initiation of any field activities.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Field Study in Sudan Khartoum</dc:title>
  <dc:creator/>
  <dc:language>en</dc:language>
  <cp:keywords/>
  <dcterms:created xsi:type="dcterms:W3CDTF">2026-10-10T02:39:26Z</dcterms:created>
  <dcterms:modified xsi:type="dcterms:W3CDTF">2026-10-10T02:39:26Z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