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Turkey</w:t>
      </w:r>
      <w:r>
        <w:t xml:space="preserve"> </w:t>
      </w:r>
      <w:r>
        <w:t xml:space="preserve">Ankara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Biocompatibility and Signal Integrity in Next-Generation Neural Interfaces</w:t>
      </w:r>
    </w:p>
    <w:p>
      <w:pPr>
        <w:pStyle w:val="BodyText"/>
      </w:pPr>
      <w:r>
        <w:rPr>
          <w:bCs/>
          <w:b/>
        </w:rPr>
        <w:t xml:space="preserve">Location:</w:t>
      </w:r>
      <w:r>
        <w:t xml:space="preserve"> </w:t>
      </w:r>
      <w:r>
        <w:t xml:space="preserve">Turkey Ankara, Bilkent University / Ankara University Medical Faculty Collaboration Site</w:t>
      </w:r>
    </w:p>
    <w:p>
      <w:pPr>
        <w:pStyle w:val="BodyText"/>
      </w:pPr>
      <w:r>
        <w:rPr>
          <w:bCs/>
          <w:b/>
        </w:rPr>
        <w:t xml:space="preserve">Principal Investigator:</w:t>
      </w:r>
      <w:r>
        <w:t xml:space="preserve"> </w:t>
      </w:r>
      <w:r>
        <w:t xml:space="preserve">Dr. [Name], Senior Biomedical Engineer</w:t>
      </w:r>
    </w:p>
    <w:p>
      <w:pPr>
        <w:pStyle w:val="BodyText"/>
      </w:pPr>
      <w:r>
        <w:rPr>
          <w:bCs/>
          <w:b/>
        </w:rPr>
        <w:t xml:space="preserve">Date:</w:t>
      </w:r>
      <w:r>
        <w:t xml:space="preserve"> </w:t>
      </w:r>
      <w:r>
        <w:t xml:space="preserve">October 24, 2023</w:t>
      </w:r>
    </w:p>
    <w:p>
      <w:pPr>
        <w:pStyle w:val="BodyText"/>
      </w:pPr>
      <w:r>
        <w:rPr>
          <w:bCs/>
          <w:b/>
        </w:rPr>
        <w:t xml:space="preserve">Protocol 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procedures for a study conducted by a team of Biomedical Engineers located in Turkey Ankara. The primary objective is to assess the long-term biocompatibility and electrical signal fidelity of novel flexible neural interfaces. As Turkey Ankara continues to emerge as a hub for advanced medical technology and research within the Middle East and Europe, this study aims to contribute to the global understanding of neuroprosthetics while adhering to local and international standards.</w:t>
      </w:r>
    </w:p>
    <w:p>
      <w:pPr>
        <w:pStyle w:val="BodyText"/>
      </w:pPr>
      <w:r>
        <w:t xml:space="preserve">The role of the Biomedical Engineer in this protocol is critical. The engineer is responsible for the design, fabrication, and testing of the device, ensuring that it meets the rigorous safety standards required for potential clinical application. The study will be conducted in a controlled laboratory environment in Ankara, utilizing state-of-the-art facilities available in the region.</w:t>
      </w:r>
    </w:p>
    <w:p>
      <w:pPr>
        <w:pStyle w:val="BodyText"/>
      </w:pPr>
      <w:r>
        <w:t xml:space="preserve">2. Objectives</w:t>
      </w:r>
    </w:p>
    <w:p>
      <w:pPr>
        <w:pStyle w:val="BodyText"/>
      </w:pPr>
      <w:r>
        <w:t xml:space="preserve">The specific objectives of this experiment are:</w:t>
      </w:r>
    </w:p>
    <w:p>
      <w:pPr>
        <w:numPr>
          <w:ilvl w:val="0"/>
          <w:numId w:val="1001"/>
        </w:numPr>
        <w:pStyle w:val="Compact"/>
      </w:pPr>
      <w:r>
        <w:t xml:space="preserve">To evaluate the mechanical stability of the neural interface under physiological conditions.</w:t>
      </w:r>
    </w:p>
    <w:p>
      <w:pPr>
        <w:numPr>
          <w:ilvl w:val="0"/>
          <w:numId w:val="1001"/>
        </w:numPr>
        <w:pStyle w:val="Compact"/>
      </w:pPr>
      <w:r>
        <w:t xml:space="preserve">To measure the electrical impedance and signal-to-noise ratio over a 90-day period.</w:t>
      </w:r>
    </w:p>
    <w:p>
      <w:pPr>
        <w:numPr>
          <w:ilvl w:val="0"/>
          <w:numId w:val="1001"/>
        </w:numPr>
        <w:pStyle w:val="Compact"/>
      </w:pPr>
      <w:r>
        <w:t xml:space="preserve">To assess the tissue response and inflammatory markers in the surrounding neural tissue.</w:t>
      </w:r>
    </w:p>
    <w:p>
      <w:pPr>
        <w:numPr>
          <w:ilvl w:val="0"/>
          <w:numId w:val="1001"/>
        </w:numPr>
        <w:pStyle w:val="Compact"/>
      </w:pPr>
      <w:r>
        <w:t xml:space="preserve">To ensure compliance with the Turkish Ministry of Health regulations and ISO 13485 standards.</w:t>
      </w:r>
    </w:p>
    <w:p>
      <w:pPr>
        <w:pStyle w:val="FirstParagraph"/>
      </w:pPr>
      <w:r>
        <w:t xml:space="preserve">3. Regulatory Compliance and Ethics</w:t>
      </w:r>
    </w:p>
    <w:p>
      <w:pPr>
        <w:pStyle w:val="BodyText"/>
      </w:pPr>
      <w:r>
        <w:t xml:space="preserve">This study will be conducted in strict accordance with the ethical guidelines established by the Non-Clinical Research Ethics Committee of the host institution in Turkey Ankara. The Biomedical Engineer must ensure that all animal welfare regulations set by the Turkish Ministry of Agriculture and Forestry are followed.</w:t>
      </w:r>
    </w:p>
    <w:p>
      <w:pPr>
        <w:pStyle w:val="BodyText"/>
      </w:pPr>
      <w:r>
        <w:t xml:space="preserve">Prior to the commencement of the experiment, the protocol must be reviewed and approved by the relevant ethics board. All personnel involved must undergo training in Good Laboratory Practice (GLP) and biosafety. The study aims to minimize animal suffering and maximize the scientific value of the data collected.</w:t>
      </w:r>
    </w:p>
    <w:p>
      <w:pPr>
        <w:pStyle w:val="BodyText"/>
      </w:pPr>
      <w:r>
        <w:t xml:space="preserve">4. Materials and Methods</w:t>
      </w:r>
    </w:p>
    <w:p>
      <w:pPr>
        <w:pStyle w:val="BodyText"/>
      </w:pPr>
      <w:r>
        <w:rPr>
          <w:bCs/>
          <w:b/>
        </w:rPr>
        <w:t xml:space="preserve">4.1. Device Fabrication</w:t>
      </w:r>
    </w:p>
    <w:p>
      <w:pPr>
        <w:pStyle w:val="BodyText"/>
      </w:pPr>
      <w:r>
        <w:t xml:space="preserve">The neural interfaces will be fabricated by the Biomedical Engineer using a combination of photolithography and micro-machining techniques. The materials used will include biocompatible polymers such as polyimide and conductive metals like platinum and gold. The fabrication process will take place in a cleanroom facility in Ankara to prevent contamination.</w:t>
      </w:r>
    </w:p>
    <w:p>
      <w:pPr>
        <w:pStyle w:val="BodyText"/>
      </w:pPr>
      <w:r>
        <w:rPr>
          <w:bCs/>
          <w:b/>
        </w:rPr>
        <w:t xml:space="preserve">4.2. Animal Model</w:t>
      </w:r>
    </w:p>
    <w:p>
      <w:pPr>
        <w:pStyle w:val="BodyText"/>
      </w:pPr>
      <w:r>
        <w:t xml:space="preserve">The study will utilize a rodent model (Sprague-Dawley rats) sourced from a certified supplier in Turkey Ankara. The animals will be housed in a controlled environment with a 12-hour light/dark cycle, ad libitum access to food and water, and regular health monitoring by a licensed veterinarian.</w:t>
      </w:r>
    </w:p>
    <w:p>
      <w:pPr>
        <w:pStyle w:val="BodyText"/>
      </w:pPr>
      <w:r>
        <w:rPr>
          <w:bCs/>
          <w:b/>
        </w:rPr>
        <w:t xml:space="preserve">4.3. Surgical Procedure</w:t>
      </w:r>
    </w:p>
    <w:p>
      <w:pPr>
        <w:pStyle w:val="BodyText"/>
      </w:pPr>
      <w:r>
        <w:t xml:space="preserve">The implantation of the neural interface will be performed by a trained neurosurgeon in collaboration with the Biomedical Engineer. The procedure will involve a craniotomy to expose the target brain region, followed by the careful placement of the device. Post-operative care will include pain management and monitoring for signs of infection or distress.</w:t>
      </w:r>
    </w:p>
    <w:p>
      <w:pPr>
        <w:pStyle w:val="BodyText"/>
      </w:pPr>
      <w:r>
        <w:rPr>
          <w:bCs/>
          <w:b/>
        </w:rPr>
        <w:t xml:space="preserve">4.4. Data Collection</w:t>
      </w:r>
    </w:p>
    <w:p>
      <w:pPr>
        <w:pStyle w:val="BodyText"/>
      </w:pPr>
      <w:r>
        <w:t xml:space="preserve">Electrical recordings will be taken at regular intervals (days 1, 7, 14, 30, 60, and 90) using a multi-channel amplifier system. The Biomedical Engineer will analyze the data to assess signal quality and device performance. Histological analysis will be performed at the end of the study to evaluate tissue response.</w:t>
      </w:r>
    </w:p>
    <w:p>
      <w:pPr>
        <w:pStyle w:val="BodyText"/>
      </w:pPr>
      <w:r>
        <w:t xml:space="preserve">5. Risk Assessment and Mitigation</w:t>
      </w:r>
    </w:p>
    <w:p>
      <w:pPr>
        <w:pStyle w:val="BodyText"/>
      </w:pPr>
      <w:r>
        <w:t xml:space="preserve">The Biomedical Engineer has identified several potential risks associated with this experiment, including surgical complications, device failure, and data loss. Mitigation strategies include:</w:t>
      </w:r>
    </w:p>
    <w:p>
      <w:pPr>
        <w:numPr>
          <w:ilvl w:val="0"/>
          <w:numId w:val="1002"/>
        </w:numPr>
        <w:pStyle w:val="Compact"/>
      </w:pPr>
      <w:r>
        <w:t xml:space="preserve">Using sterile surgical techniques and post-operative antibiotics to prevent infection.</w:t>
      </w:r>
    </w:p>
    <w:p>
      <w:pPr>
        <w:numPr>
          <w:ilvl w:val="0"/>
          <w:numId w:val="1002"/>
        </w:numPr>
        <w:pStyle w:val="Compact"/>
      </w:pPr>
      <w:r>
        <w:t xml:space="preserve">Performing rigorous quality control checks on the fabricated devices before implantation.</w:t>
      </w:r>
    </w:p>
    <w:p>
      <w:pPr>
        <w:numPr>
          <w:ilvl w:val="0"/>
          <w:numId w:val="1002"/>
        </w:numPr>
        <w:pStyle w:val="Compact"/>
      </w:pPr>
      <w:r>
        <w:t xml:space="preserve">Implementing a robust data backup system to ensure the integrity of the collected data.</w:t>
      </w:r>
    </w:p>
    <w:p>
      <w:pPr>
        <w:pStyle w:val="FirstParagraph"/>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Responsibility</w:t>
            </w:r>
          </w:p>
        </w:tc>
      </w:tr>
      <w:tr>
        <w:tc>
          <w:tcPr/>
          <w:p>
            <w:pPr>
              <w:pStyle w:val="Compact"/>
              <w:jc w:val="left"/>
            </w:pPr>
            <w:r>
              <w:t xml:space="preserve">Device Fabrication and Testing</w:t>
            </w:r>
          </w:p>
        </w:tc>
        <w:tc>
          <w:tcPr/>
          <w:p>
            <w:pPr>
              <w:pStyle w:val="Compact"/>
              <w:jc w:val="left"/>
            </w:pPr>
            <w:r>
              <w:t xml:space="preserve">4 weeks</w:t>
            </w:r>
          </w:p>
        </w:tc>
        <w:tc>
          <w:tcPr/>
          <w:p>
            <w:pPr>
              <w:pStyle w:val="Compact"/>
              <w:jc w:val="left"/>
            </w:pPr>
            <w:r>
              <w:t xml:space="preserve">Biomedical Engineer</w:t>
            </w:r>
          </w:p>
        </w:tc>
      </w:tr>
      <w:tr>
        <w:tc>
          <w:tcPr/>
          <w:p>
            <w:pPr>
              <w:pStyle w:val="Compact"/>
              <w:jc w:val="left"/>
            </w:pPr>
            <w:r>
              <w:t xml:space="preserve">Animal Acclimatization</w:t>
            </w:r>
          </w:p>
        </w:tc>
        <w:tc>
          <w:tcPr/>
          <w:p>
            <w:pPr>
              <w:pStyle w:val="Compact"/>
              <w:jc w:val="left"/>
            </w:pPr>
            <w:r>
              <w:t xml:space="preserve">1 week</w:t>
            </w:r>
          </w:p>
        </w:tc>
        <w:tc>
          <w:tcPr/>
          <w:p>
            <w:pPr>
              <w:pStyle w:val="Compact"/>
              <w:jc w:val="left"/>
            </w:pPr>
            <w:r>
              <w:t xml:space="preserve">Veterinary Staff</w:t>
            </w:r>
          </w:p>
        </w:tc>
      </w:tr>
      <w:tr>
        <w:tc>
          <w:tcPr/>
          <w:p>
            <w:pPr>
              <w:pStyle w:val="Compact"/>
              <w:jc w:val="left"/>
            </w:pPr>
            <w:r>
              <w:t xml:space="preserve">Surgical Implantation</w:t>
            </w:r>
          </w:p>
        </w:tc>
        <w:tc>
          <w:tcPr/>
          <w:p>
            <w:pPr>
              <w:pStyle w:val="Compact"/>
              <w:jc w:val="left"/>
            </w:pPr>
            <w:r>
              <w:t xml:space="preserve">1 week</w:t>
            </w:r>
          </w:p>
        </w:tc>
        <w:tc>
          <w:tcPr/>
          <w:p>
            <w:pPr>
              <w:pStyle w:val="Compact"/>
              <w:jc w:val="left"/>
            </w:pPr>
            <w:r>
              <w:t xml:space="preserve">Neurosurgeon and Biomedical Engineer</w:t>
            </w:r>
          </w:p>
        </w:tc>
      </w:tr>
      <w:tr>
        <w:tc>
          <w:tcPr/>
          <w:p>
            <w:pPr>
              <w:pStyle w:val="Compact"/>
              <w:jc w:val="left"/>
            </w:pPr>
            <w:r>
              <w:t xml:space="preserve">Data Collection and Analysis</w:t>
            </w:r>
          </w:p>
        </w:tc>
        <w:tc>
          <w:tcPr/>
          <w:p>
            <w:pPr>
              <w:pStyle w:val="Compact"/>
              <w:jc w:val="left"/>
            </w:pPr>
            <w:r>
              <w:t xml:space="preserve">13 weeks</w:t>
            </w:r>
          </w:p>
        </w:tc>
        <w:tc>
          <w:tcPr/>
          <w:p>
            <w:pPr>
              <w:pStyle w:val="Compact"/>
              <w:jc w:val="left"/>
            </w:pPr>
            <w:r>
              <w:t xml:space="preserve">Biomedical Engineer</w:t>
            </w:r>
          </w:p>
        </w:tc>
      </w:tr>
      <w:tr>
        <w:tc>
          <w:tcPr/>
          <w:p>
            <w:pPr>
              <w:pStyle w:val="Compact"/>
              <w:jc w:val="left"/>
            </w:pPr>
            <w:r>
              <w:t xml:space="preserve">Final Reporting</w:t>
            </w:r>
          </w:p>
        </w:tc>
        <w:tc>
          <w:tcPr/>
          <w:p>
            <w:pPr>
              <w:pStyle w:val="Compact"/>
              <w:jc w:val="left"/>
            </w:pPr>
            <w:r>
              <w:t xml:space="preserve">2 weeks</w:t>
            </w:r>
          </w:p>
        </w:tc>
        <w:tc>
          <w:tcPr/>
          <w:p>
            <w:pPr>
              <w:pStyle w:val="Compact"/>
              <w:jc w:val="left"/>
            </w:pPr>
            <w:r>
              <w:t xml:space="preserve">Principal Investigator</w:t>
            </w:r>
          </w:p>
        </w:tc>
      </w:tr>
    </w:tbl>
    <w:p>
      <w:pPr>
        <w:pStyle w:val="BodyText"/>
      </w:pPr>
      <w:r>
        <w:t xml:space="preserve">7. Conclusion</w:t>
      </w:r>
    </w:p>
    <w:p>
      <w:pPr>
        <w:pStyle w:val="BodyText"/>
      </w:pPr>
      <w:r>
        <w:t xml:space="preserve">This Experiment Protocol provides a comprehensive framework for the evaluation of next-generation neural interfaces by a Biomedical Engineer in Turkey Ankara. By adhering to the outlined procedures and regulatory requirements, the study aims to produce high-quality data that will advance the field of biomedical engineering and contribute to the development of innovative medical technologies.</w:t>
      </w:r>
    </w:p>
    <w:p>
      <w:pPr>
        <w:pStyle w:val="BodyText"/>
      </w:pPr>
      <w:r>
        <w:rPr>
          <w:bCs/>
          <w:b/>
        </w:rPr>
        <w:t xml:space="preserve">Principal Investigator Signature:</w:t>
      </w:r>
    </w:p>
    <w:p>
      <w:pPr>
        <w:pStyle w:val="BodyText"/>
      </w:pPr>
      <w:r>
        <w:t xml:space="preserve">__________________________</w:t>
      </w:r>
    </w:p>
    <w:p>
      <w:pPr>
        <w:pStyle w:val="BodyText"/>
      </w:pPr>
      <w:r>
        <w:t xml:space="preserve">Date: ____________________</w:t>
      </w:r>
    </w:p>
    <w:p>
      <w:pPr>
        <w:pStyle w:val="BodyText"/>
      </w:pPr>
      <w:r>
        <w:rPr>
          <w:bCs/>
          <w:b/>
        </w:rPr>
        <w:t xml:space="preserve">Ethics Committee Approval:</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Turkey Ankara</dc:title>
  <dc:creator/>
  <dc:language>en</dc:language>
  <cp:keywords/>
  <dcterms:created xsi:type="dcterms:W3CDTF">2026-10-10T02:20:32Z</dcterms:created>
  <dcterms:modified xsi:type="dcterms:W3CDTF">2026-10-10T02:20:32Z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