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Abu</w:t>
      </w:r>
      <w:r>
        <w:t xml:space="preserve"> </w:t>
      </w:r>
      <w:r>
        <w:t xml:space="preserve">Dhabi</w:t>
      </w:r>
    </w:p>
    <w:bookmarkStart w:id="20" w:name="standard-experiment-protocol"/>
    <w:p>
      <w:pPr>
        <w:pStyle w:val="Heading1"/>
      </w:pPr>
      <w:r>
        <w:t xml:space="preserve">Standard Experiment Protocol</w:t>
      </w:r>
    </w:p>
    <w:p>
      <w:pPr>
        <w:pStyle w:val="FirstParagraph"/>
      </w:pPr>
      <w:r>
        <w:rPr>
          <w:bCs/>
          <w:b/>
        </w:rPr>
        <w:t xml:space="preserve">Discipline:</w:t>
      </w:r>
      <w:r>
        <w:t xml:space="preserve"> </w:t>
      </w:r>
      <w:r>
        <w:t xml:space="preserve">Biomedical Engineering</w:t>
      </w:r>
    </w:p>
    <w:p>
      <w:pPr>
        <w:pStyle w:val="BodyText"/>
      </w:pPr>
      <w:r>
        <w:rPr>
          <w:bCs/>
          <w:b/>
        </w:rPr>
        <w:t xml:space="preserve">Location:</w:t>
      </w:r>
      <w:r>
        <w:t xml:space="preserve"> </w:t>
      </w:r>
      <w:r>
        <w:t xml:space="preserve">United Arab Emirates, Abu Dhabi</w:t>
      </w:r>
    </w:p>
    <w:p>
      <w:pPr>
        <w:pStyle w:val="BodyText"/>
      </w:pPr>
      <w:r>
        <w:rPr>
          <w:bCs/>
          <w:b/>
        </w:rPr>
        <w:t xml:space="preserve">Protocol ID:</w:t>
      </w:r>
      <w:r>
        <w:t xml:space="preserve"> </w:t>
      </w:r>
      <w:r>
        <w:t xml:space="preserve">UAE-ABD-BME-2024-001</w:t>
      </w:r>
    </w:p>
    <w:p>
      <w:pPr>
        <w:pStyle w:val="BodyText"/>
      </w:pPr>
      <w:r>
        <w:rPr>
          <w:bCs/>
          <w:b/>
        </w:rPr>
        <w:t xml:space="preserve">Date of Issue:</w:t>
      </w:r>
      <w:r>
        <w:t xml:space="preserve"> </w:t>
      </w:r>
      <w:r>
        <w:t xml:space="preserve">October 24, 2024</w:t>
      </w:r>
    </w:p>
    <w:bookmarkEnd w:id="20"/>
    <w:bookmarkStart w:id="21" w:name="introduction-and-scope"/>
    <w:p>
      <w:pPr>
        <w:pStyle w:val="Heading2"/>
      </w:pPr>
      <w:r>
        <w:t xml:space="preserve">1. Introduction and Scope</w:t>
      </w:r>
    </w:p>
    <w:p>
      <w:pPr>
        <w:pStyle w:val="FirstParagraph"/>
      </w:pPr>
      <w:r>
        <w:t xml:space="preserve">This document outlines the mandatory experimental protocol for Biomedical Engineers conducting research, device testing, or clinical trials within the jurisdiction of Abu Dhabi, United Arab Emirates. As a global hub for medical innovation, Abu Dhabi demands rigorous adherence to international standards while respecting local regulatory frameworks. This protocol ensures that all biomedical engineering activities maintain the highest levels of safety, efficacy, and ethical integrity.</w:t>
      </w:r>
    </w:p>
    <w:p>
      <w:pPr>
        <w:pStyle w:val="BodyText"/>
      </w:pPr>
      <w:r>
        <w:t xml:space="preserve">The scope of this protocol applies to all Biomedical Engineers operating under the supervision of the Department of Health – Abu Dhabi (DOH) and relevant academic or private research institutions. It covers the lifecycle of an experiment from initial hypothesis formulation to data analysis and reporting.</w:t>
      </w:r>
    </w:p>
    <w:bookmarkEnd w:id="21"/>
    <w:bookmarkStart w:id="22" w:name="regulatory-compliance-and-ethics"/>
    <w:p>
      <w:pPr>
        <w:pStyle w:val="Heading2"/>
      </w:pPr>
      <w:r>
        <w:t xml:space="preserve">2. Regulatory Compliance and Ethics</w:t>
      </w:r>
    </w:p>
    <w:p>
      <w:pPr>
        <w:pStyle w:val="FirstParagraph"/>
      </w:pPr>
      <w:r>
        <w:t xml:space="preserve">Any Biomedical Engineer initiating an experiment in Abu Dhabi must first secure approval from the relevant Institutional Review Board (IRB) or Research Ethics Committee. Compliance with the UAE Federal Law No. 17 of 2016 regarding the Protection of Personal Data is non-negotiable. Furthermore, all procedures must align with the guidelines set forth by the Abu Dhabi Health Services Company (SEHA) and the Department of Health – Abu Dhabi.</w:t>
      </w:r>
    </w:p>
    <w:p>
      <w:pPr>
        <w:pStyle w:val="BodyText"/>
      </w:pPr>
      <w:r>
        <w:t xml:space="preserve">Ethical considerations are paramount. If the experiment involves human subjects, informed consent must be obtained in both English and Arabic, ensuring full comprehension by the participants. The protocol must explicitly state how patient privacy and data confidentiality will be maintained in accordance with UAE regulations.</w:t>
      </w:r>
    </w:p>
    <w:bookmarkEnd w:id="22"/>
    <w:bookmarkStart w:id="23" w:name="objectives-and-hypothesis"/>
    <w:p>
      <w:pPr>
        <w:pStyle w:val="Heading2"/>
      </w:pPr>
      <w:r>
        <w:t xml:space="preserve">3. Objectives and Hypothesis</w:t>
      </w:r>
    </w:p>
    <w:p>
      <w:pPr>
        <w:pStyle w:val="FirstParagraph"/>
      </w:pPr>
      <w:r>
        <w:t xml:space="preserve">The Biomedical Engineer must clearly define the primary and secondary objectives of the experiment. Whether the focus is on the development of a new prosthetic limb, the calibration of diagnostic imaging equipment, or the testing of a novel biomaterial, the hypothesis must be scientifically sound and relevant to the healthcare needs of the region.</w:t>
      </w:r>
    </w:p>
    <w:p>
      <w:pPr>
        <w:pStyle w:val="BodyText"/>
      </w:pPr>
      <w:r>
        <w:t xml:space="preserve">For example, if testing a wearable cardiac monitor, the objective might be to evaluate its accuracy in detecting arrhythmias in a diverse demographic population typical of Abu Dhabi. The hypothesis should be falsifiable and measurable.</w:t>
      </w:r>
    </w:p>
    <w:bookmarkEnd w:id="23"/>
    <w:bookmarkStart w:id="24" w:name="methodology-and-materials"/>
    <w:p>
      <w:pPr>
        <w:pStyle w:val="Heading2"/>
      </w:pPr>
      <w:r>
        <w:t xml:space="preserve">4. Methodology and Materials</w:t>
      </w:r>
    </w:p>
    <w:p>
      <w:pPr>
        <w:pStyle w:val="FirstParagraph"/>
      </w:pPr>
      <w:r>
        <w:t xml:space="preserve">This section requires a detailed description of the experimental design. The Biomedical Engineer must list all materials, software, and hardware to be used. All medical devices utilized in the experiment must be registered with the DOH. If using imported equipment, proof of conformity with international standards (such as ISO 13485) must be documented.</w:t>
      </w:r>
    </w:p>
    <w:p>
      <w:pPr>
        <w:pStyle w:val="BodyText"/>
      </w:pPr>
      <w:r>
        <w:t xml:space="preserve">The methodology should include:</w:t>
      </w:r>
    </w:p>
    <w:p>
      <w:pPr>
        <w:numPr>
          <w:ilvl w:val="0"/>
          <w:numId w:val="1001"/>
        </w:numPr>
        <w:pStyle w:val="Compact"/>
      </w:pPr>
      <w:r>
        <w:rPr>
          <w:bCs/>
          <w:b/>
        </w:rPr>
        <w:t xml:space="preserve">Sample Size Calculation:</w:t>
      </w:r>
      <w:r>
        <w:t xml:space="preserve"> </w:t>
      </w:r>
      <w:r>
        <w:t xml:space="preserve">Justification for the number of subjects or test units.</w:t>
      </w:r>
    </w:p>
    <w:p>
      <w:pPr>
        <w:numPr>
          <w:ilvl w:val="0"/>
          <w:numId w:val="1001"/>
        </w:numPr>
        <w:pStyle w:val="Compact"/>
      </w:pPr>
      <w:r>
        <w:rPr>
          <w:bCs/>
          <w:b/>
        </w:rPr>
        <w:t xml:space="preserve">Inclusion and Exclusion Criteria:</w:t>
      </w:r>
      <w:r>
        <w:t xml:space="preserve"> </w:t>
      </w:r>
      <w:r>
        <w:t xml:space="preserve">Clear definitions of who or what can participate.</w:t>
      </w:r>
    </w:p>
    <w:p>
      <w:pPr>
        <w:numPr>
          <w:ilvl w:val="0"/>
          <w:numId w:val="1001"/>
        </w:numPr>
        <w:pStyle w:val="Compact"/>
      </w:pPr>
      <w:r>
        <w:rPr>
          <w:bCs/>
          <w:b/>
        </w:rPr>
        <w:t xml:space="preserve">Procedural Steps:</w:t>
      </w:r>
      <w:r>
        <w:t xml:space="preserve"> </w:t>
      </w:r>
      <w:r>
        <w:t xml:space="preserve">A step-by-step guide that another engineer could replicate exactly.</w:t>
      </w:r>
    </w:p>
    <w:p>
      <w:pPr>
        <w:numPr>
          <w:ilvl w:val="0"/>
          <w:numId w:val="1001"/>
        </w:numPr>
        <w:pStyle w:val="Compact"/>
      </w:pPr>
      <w:r>
        <w:rPr>
          <w:bCs/>
          <w:b/>
        </w:rPr>
        <w:t xml:space="preserve">Environmental Controls:</w:t>
      </w:r>
      <w:r>
        <w:t xml:space="preserve"> </w:t>
      </w:r>
      <w:r>
        <w:t xml:space="preserve">Given the climate in Abu Dhabi, specific measures must be taken to control temperature and humidity in the laboratory to ensure equipment stability and sample integrity.</w:t>
      </w:r>
    </w:p>
    <w:bookmarkEnd w:id="24"/>
    <w:bookmarkStart w:id="25" w:name="risk-assessment-and-safety-measures"/>
    <w:p>
      <w:pPr>
        <w:pStyle w:val="Heading2"/>
      </w:pPr>
      <w:r>
        <w:t xml:space="preserve">5. Risk Assessment and Safety Measures</w:t>
      </w:r>
    </w:p>
    <w:p>
      <w:pPr>
        <w:pStyle w:val="FirstParagraph"/>
      </w:pPr>
      <w:r>
        <w:t xml:space="preserve">A comprehensive risk assessment is required before the commencement of any experiment. The Biomedical Engineer must identify potential hazards, including electrical risks, biological hazards, and data security breaches.</w:t>
      </w:r>
    </w:p>
    <w:p>
      <w:pPr>
        <w:pStyle w:val="BodyText"/>
      </w:pPr>
      <w:r>
        <w:t xml:space="preserve">Safety protocols must adhere to the Occupational Safety and Health (OSH) regulations of the UAE. This includes the availability of personal protective equipment (PPE), emergency shutdown procedures for medical devices, and clear evacuation routes. In the event of an adverse event involving a human subject, the protocol must outline the immediate medical response and the reporting mechanism to the DOH.</w:t>
      </w:r>
    </w:p>
    <w:bookmarkEnd w:id="25"/>
    <w:bookmarkStart w:id="26" w:name="data-collection-and-analysis"/>
    <w:p>
      <w:pPr>
        <w:pStyle w:val="Heading2"/>
      </w:pPr>
      <w:r>
        <w:t xml:space="preserve">6. Data Collection and Analysis</w:t>
      </w:r>
    </w:p>
    <w:p>
      <w:pPr>
        <w:pStyle w:val="FirstParagraph"/>
      </w:pPr>
      <w:r>
        <w:t xml:space="preserve">Data collection methods must be standardized to minimize bias. The Biomedical Engineer should utilize validated software for data acquisition. All raw data must be stored securely on servers located within the United Arab Emirates to comply with data sovereignty laws.</w:t>
      </w:r>
    </w:p>
    <w:p>
      <w:pPr>
        <w:pStyle w:val="BodyText"/>
      </w:pPr>
      <w:r>
        <w:t xml:space="preserve">Statistical analysis plans should be pre-defined. The engineer must specify the statistical tests to be used to determine the significance of the results. Transparency in data handling is crucial; any anomalies or outliers must be documented and explained rather than discarded without justification.</w:t>
      </w:r>
    </w:p>
    <w:bookmarkEnd w:id="26"/>
    <w:bookmarkStart w:id="27" w:name="reporting-and-dissemination"/>
    <w:p>
      <w:pPr>
        <w:pStyle w:val="Heading2"/>
      </w:pPr>
      <w:r>
        <w:t xml:space="preserve">7. Reporting and Dissemination</w:t>
      </w:r>
    </w:p>
    <w:p>
      <w:pPr>
        <w:pStyle w:val="FirstParagraph"/>
      </w:pPr>
      <w:r>
        <w:t xml:space="preserve">Upon completion of the experiment, the Biomedical Engineer is required to submit a final report to the overseeing institution and the relevant regulatory bodies in Abu Dhabi. This report should include an executive summary, detailed methodology, results, discussion, and conclusions.</w:t>
      </w:r>
    </w:p>
    <w:p>
      <w:pPr>
        <w:pStyle w:val="BodyText"/>
      </w:pPr>
      <w:r>
        <w:t xml:space="preserve">If the results are positive and the device or procedure is deemed safe and effective, the engineer may proceed with the application for commercialization or clinical implementation, following the specific pathways outlined by the Department of Health – Abu Dhabi.</w:t>
      </w:r>
    </w:p>
    <w:bookmarkEnd w:id="27"/>
    <w:bookmarkStart w:id="28" w:name="conclusion"/>
    <w:p>
      <w:pPr>
        <w:pStyle w:val="Heading2"/>
      </w:pPr>
      <w:r>
        <w:t xml:space="preserve">8. Conclusion</w:t>
      </w:r>
    </w:p>
    <w:p>
      <w:pPr>
        <w:pStyle w:val="FirstParagraph"/>
      </w:pPr>
      <w:r>
        <w:t xml:space="preserve">This Experiment Protocol serves as the foundational document for conducting high-quality biomedical engineering research in Abu Dhabi. By adhering to these guidelines, Biomedical Engineers contribute to the advancement of healthcare in the United Arab Emirates while ensuring the safety and well-being of the population.</w:t>
      </w:r>
    </w:p>
    <w:bookmarkEnd w:id="28"/>
    <w:p>
      <w:pPr>
        <w:pStyle w:val="BodyText"/>
      </w:pPr>
      <w:r>
        <w:rPr>
          <w:bCs/>
          <w:b/>
        </w:rPr>
        <w:t xml:space="preserve">Biomedical Engineer Name:</w:t>
      </w:r>
    </w:p>
    <w:p>
      <w:pPr>
        <w:pStyle w:val="BodyText"/>
      </w:pPr>
      <w:r>
        <w:rPr>
          <w:bCs/>
          <w:b/>
        </w:rPr>
        <w:t xml:space="preserve">Signature:</w:t>
      </w:r>
    </w:p>
    <w:p>
      <w:pPr>
        <w:pStyle w:val="BodyText"/>
      </w:pPr>
      <w:r>
        <w:rPr>
          <w:bCs/>
          <w:b/>
        </w:rPr>
        <w:t xml:space="preserve">Supervisor/Principal Investigator:</w:t>
      </w:r>
    </w:p>
    <w:p>
      <w:pPr>
        <w:pStyle w:val="BodyText"/>
      </w:pPr>
      <w:r>
        <w:rPr>
          <w:bCs/>
          <w:b/>
        </w:rPr>
        <w:t xml:space="preserve">Signature:</w:t>
      </w:r>
    </w:p>
    <w:p>
      <w:pPr>
        <w:pStyle w:val="BodyText"/>
      </w:pPr>
      <w:r>
        <w:rPr>
          <w:bCs/>
          <w:b/>
        </w:rPr>
        <w:t xml:space="preserve">Ethics Committee Approval:</w:t>
      </w:r>
    </w:p>
    <w:p>
      <w:pPr>
        <w:pStyle w:val="BodyText"/>
      </w:pPr>
      <w:r>
        <w:rPr>
          <w:bCs/>
          <w:b/>
        </w:rPr>
        <w:t xml:space="preserve">Stamp/Signature: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Abu Dhabi</dc:title>
  <dc:creator/>
  <dc:language>en</dc:language>
  <cp:keywords/>
  <dcterms:created xsi:type="dcterms:W3CDTF">2026-10-10T03:38:37Z</dcterms:created>
  <dcterms:modified xsi:type="dcterms:W3CDTF">2026-10-10T03:38:37Z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