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Dubai,</w:t>
      </w:r>
      <w:r>
        <w:t xml:space="preserve"> </w:t>
      </w:r>
      <w:r>
        <w:t xml:space="preserve">UAE</w:t>
      </w:r>
    </w:p>
    <w:bookmarkStart w:id="32" w:name="X0db5ac79884174d3e4fe00583894b98cba18d19"/>
    <w:p>
      <w:pPr>
        <w:pStyle w:val="Heading1"/>
      </w:pPr>
      <w:r>
        <w:t xml:space="preserve">Experiment Protocol: Biomedical Engineering Research</w:t>
      </w:r>
    </w:p>
    <w:p>
      <w:pPr>
        <w:pStyle w:val="FirstParagraph"/>
      </w:pPr>
      <w:r>
        <w:rPr>
          <w:bCs/>
          <w:b/>
        </w:rPr>
        <w:t xml:space="preserve">Protocol Title:</w:t>
      </w:r>
      <w:r>
        <w:t xml:space="preserve"> </w:t>
      </w:r>
      <w:r>
        <w:t xml:space="preserve">Evaluation of Biocompatibility and Performance of Novel Implantable Sensors</w:t>
      </w:r>
    </w:p>
    <w:p>
      <w:pPr>
        <w:pStyle w:val="BodyText"/>
      </w:pPr>
      <w:r>
        <w:rPr>
          <w:bCs/>
          <w:b/>
        </w:rPr>
        <w:t xml:space="preserve">Principal Investigator:</w:t>
      </w:r>
      <w:r>
        <w:t xml:space="preserve"> </w:t>
      </w:r>
      <w:r>
        <w:t xml:space="preserve">[Name of Biomedical Engineer]</w:t>
      </w:r>
    </w:p>
    <w:p>
      <w:pPr>
        <w:pStyle w:val="BodyText"/>
      </w:pPr>
      <w:r>
        <w:rPr>
          <w:bCs/>
          <w:b/>
        </w:rPr>
        <w:t xml:space="preserve">Institution:</w:t>
      </w:r>
      <w:r>
        <w:t xml:space="preserve"> </w:t>
      </w:r>
      <w:r>
        <w:t xml:space="preserve">[Name of Research Center/Hospital in Dubai]</w:t>
      </w:r>
    </w:p>
    <w:p>
      <w:pPr>
        <w:pStyle w:val="BodyText"/>
      </w:pPr>
      <w:r>
        <w:rPr>
          <w:bCs/>
          <w:b/>
        </w:rPr>
        <w:t xml:space="preserve">Location:</w:t>
      </w:r>
      <w:r>
        <w:t xml:space="preserve"> </w:t>
      </w:r>
      <w:r>
        <w:t xml:space="preserve">Dubai, United Arab Emirates</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Regulatory Reference:</w:t>
      </w:r>
      <w:r>
        <w:t xml:space="preserve"> </w:t>
      </w:r>
      <w:r>
        <w:t xml:space="preserve">Dubai Health Authority (DHA) Guidelines &amp; Ministry of Health and Prevention (MOHAP)</w:t>
      </w:r>
    </w:p>
    <w:bookmarkStart w:id="20" w:name="introduction-and-background"/>
    <w:p>
      <w:pPr>
        <w:pStyle w:val="Heading2"/>
      </w:pPr>
      <w:r>
        <w:t xml:space="preserve">1. Introduction and Background</w:t>
      </w:r>
    </w:p>
    <w:p>
      <w:pPr>
        <w:pStyle w:val="FirstParagraph"/>
      </w:pPr>
      <w:r>
        <w:t xml:space="preserve">This Experiment Protocol outlines the procedures for a biomedical engineering study conducted within the jurisdiction of Dubai, United Arab Emirates. The primary objective is to assess the safety, efficacy, and biocompatibility of a new generation of implantable biosensors designed for continuous glucose monitoring. As a Biomedical Engineer, the lead researcher is responsible for ensuring that all technical aspects of the device meet international standards (ISO 13485) while adhering strictly to the local regulatory frameworks established by the Dubai Health Authority (DHA).</w:t>
      </w:r>
    </w:p>
    <w:p>
      <w:pPr>
        <w:pStyle w:val="BodyText"/>
      </w:pPr>
      <w:r>
        <w:t xml:space="preserve">The United Arab Emirates, and specifically Dubai, has emerged as a global hub for medical innovation. This protocol leverages the advanced healthcare infrastructure available in Dubai to conduct rigorous pre-clinical and early-phase clinical evaluations. The study aims to contribute to the growing body of knowledge in biomedical engineering, focusing on improving patient outcomes through technological advancement.</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evaluate the biocompatibility of the novel implantable sensor material in a controlled environment, ensuring no adverse tissue reactions occur over a 90-day period.</w:t>
      </w:r>
    </w:p>
    <w:bookmarkEnd w:id="21"/>
    <w:bookmarkStart w:id="22" w:name="secondary-objectives"/>
    <w:p>
      <w:pPr>
        <w:pStyle w:val="Heading3"/>
      </w:pPr>
      <w:r>
        <w:t xml:space="preserve">2.2 Secondary Objectives</w:t>
      </w:r>
    </w:p>
    <w:p>
      <w:pPr>
        <w:numPr>
          <w:ilvl w:val="0"/>
          <w:numId w:val="1001"/>
        </w:numPr>
        <w:pStyle w:val="Compact"/>
      </w:pPr>
      <w:r>
        <w:t xml:space="preserve">To assess the accuracy and reliability of the sensor data compared to standard blood glucose monitoring methods.</w:t>
      </w:r>
    </w:p>
    <w:p>
      <w:pPr>
        <w:numPr>
          <w:ilvl w:val="0"/>
          <w:numId w:val="1001"/>
        </w:numPr>
        <w:pStyle w:val="Compact"/>
      </w:pPr>
      <w:r>
        <w:t xml:space="preserve">To verify the device's performance under the specific environmental conditions of Dubai, including high ambient temperatures and humidity.</w:t>
      </w:r>
    </w:p>
    <w:p>
      <w:pPr>
        <w:numPr>
          <w:ilvl w:val="0"/>
          <w:numId w:val="1001"/>
        </w:numPr>
        <w:pStyle w:val="Compact"/>
      </w:pPr>
      <w:r>
        <w:t xml:space="preserve">To ensure compliance with all ethical and safety regulations mandated by the United Arab Emirates.</w:t>
      </w:r>
    </w:p>
    <w:bookmarkEnd w:id="22"/>
    <w:bookmarkEnd w:id="23"/>
    <w:bookmarkStart w:id="24" w:name="regulatory-compliance-and-ethics"/>
    <w:p>
      <w:pPr>
        <w:pStyle w:val="Heading2"/>
      </w:pPr>
      <w:r>
        <w:t xml:space="preserve">3. Regulatory Compliance and Ethics</w:t>
      </w:r>
    </w:p>
    <w:p>
      <w:pPr>
        <w:pStyle w:val="FirstParagraph"/>
      </w:pPr>
      <w:r>
        <w:t xml:space="preserve">All activities described in this protocol will be conducted in full compliance with the regulations set forth by the Dubai Health Authority (DHA) and the Ministry of Health and Prevention (MOHAP) of the United Arab Emirates. The Biomedical Engineer leading this study must ensure that:</w:t>
      </w:r>
    </w:p>
    <w:p>
      <w:pPr>
        <w:numPr>
          <w:ilvl w:val="0"/>
          <w:numId w:val="1002"/>
        </w:numPr>
        <w:pStyle w:val="Compact"/>
      </w:pPr>
      <w:r>
        <w:rPr>
          <w:bCs/>
          <w:b/>
        </w:rPr>
        <w:t xml:space="preserve">Ethical Approval:</w:t>
      </w:r>
      <w:r>
        <w:t xml:space="preserve"> </w:t>
      </w:r>
      <w:r>
        <w:t xml:space="preserve">The protocol has been reviewed and approved by the Institutional Review Board (IRB) or Research Ethics Committee (REC) of the hosting institution in Dubai.</w:t>
      </w:r>
    </w:p>
    <w:p>
      <w:pPr>
        <w:numPr>
          <w:ilvl w:val="0"/>
          <w:numId w:val="1002"/>
        </w:numPr>
        <w:pStyle w:val="Compact"/>
      </w:pPr>
      <w:r>
        <w:rPr>
          <w:bCs/>
          <w:b/>
        </w:rPr>
        <w:t xml:space="preserve">Informed Consent:</w:t>
      </w:r>
      <w:r>
        <w:t xml:space="preserve"> </w:t>
      </w:r>
      <w:r>
        <w:t xml:space="preserve">If human subjects are involved, informed consent must be obtained in accordance with UAE law, ensuring participants understand the risks and benefits.</w:t>
      </w:r>
    </w:p>
    <w:p>
      <w:pPr>
        <w:numPr>
          <w:ilvl w:val="0"/>
          <w:numId w:val="1002"/>
        </w:numPr>
        <w:pStyle w:val="Compact"/>
      </w:pPr>
      <w:r>
        <w:rPr>
          <w:bCs/>
          <w:b/>
        </w:rPr>
        <w:t xml:space="preserve">Data Privacy:</w:t>
      </w:r>
      <w:r>
        <w:t xml:space="preserve"> </w:t>
      </w:r>
      <w:r>
        <w:t xml:space="preserve">All patient data will be handled in compliance with the UAE Data Protection Law, ensuring confidentiality and security.</w:t>
      </w:r>
    </w:p>
    <w:p>
      <w:pPr>
        <w:numPr>
          <w:ilvl w:val="0"/>
          <w:numId w:val="1002"/>
        </w:numPr>
        <w:pStyle w:val="Compact"/>
      </w:pPr>
      <w:r>
        <w:rPr>
          <w:bCs/>
          <w:b/>
        </w:rPr>
        <w:t xml:space="preserve">Device Registration:</w:t>
      </w:r>
      <w:r>
        <w:t xml:space="preserve"> </w:t>
      </w:r>
      <w:r>
        <w:t xml:space="preserve">The experimental device must be registered with the DHA as a research device, and all necessary permits must be secured before the commencement of the experiment.</w:t>
      </w:r>
    </w:p>
    <w:bookmarkEnd w:id="24"/>
    <w:bookmarkStart w:id="28" w:name="methodology"/>
    <w:p>
      <w:pPr>
        <w:pStyle w:val="Heading2"/>
      </w:pPr>
      <w:r>
        <w:t xml:space="preserve">4. Methodology</w:t>
      </w:r>
    </w:p>
    <w:bookmarkStart w:id="25" w:name="study-design"/>
    <w:p>
      <w:pPr>
        <w:pStyle w:val="Heading3"/>
      </w:pPr>
      <w:r>
        <w:t xml:space="preserve">4.1 Study Design</w:t>
      </w:r>
    </w:p>
    <w:p>
      <w:pPr>
        <w:pStyle w:val="FirstParagraph"/>
      </w:pPr>
      <w:r>
        <w:t xml:space="preserve">This study will employ a randomized, controlled design. The experiment will be divided into two phases: pre-clinical testing using animal models and early-phase clinical trials involving human volunteers.</w:t>
      </w:r>
    </w:p>
    <w:bookmarkEnd w:id="25"/>
    <w:bookmarkStart w:id="26" w:name="pre-clinical-testing"/>
    <w:p>
      <w:pPr>
        <w:pStyle w:val="Heading3"/>
      </w:pPr>
      <w:r>
        <w:t xml:space="preserve">4.2 Pre-Clinical Testing</w:t>
      </w:r>
    </w:p>
    <w:p>
      <w:pPr>
        <w:pStyle w:val="FirstParagraph"/>
      </w:pPr>
      <w:r>
        <w:t xml:space="preserve">Pre-clinical tests will be conducted at an accredited laboratory in Dubai. The Biomedical Engineer will oversee the implantation of the sensors in animal models to assess tissue response, inflammation, and device stability. All animal handling procedures will comply with the UAE's guidelines for the ethical treatment of animals in research.</w:t>
      </w:r>
    </w:p>
    <w:bookmarkEnd w:id="26"/>
    <w:bookmarkStart w:id="27" w:name="clinical-trials"/>
    <w:p>
      <w:pPr>
        <w:pStyle w:val="Heading3"/>
      </w:pPr>
      <w:r>
        <w:t xml:space="preserve">4.3 Clinical Trials</w:t>
      </w:r>
    </w:p>
    <w:p>
      <w:pPr>
        <w:pStyle w:val="FirstParagraph"/>
      </w:pPr>
      <w:r>
        <w:t xml:space="preserve">Upon successful completion of pre-clinical testing, the study will proceed to clinical trials. Human participants will be recruited from hospitals in Dubai. The Biomedical Engineer will work closely with medical professionals to implant the sensors and monitor their performance. Data will be collected continuously over a 90-day period.</w:t>
      </w:r>
    </w:p>
    <w:bookmarkEnd w:id="27"/>
    <w:bookmarkEnd w:id="28"/>
    <w:bookmarkStart w:id="29" w:name="risk-management"/>
    <w:p>
      <w:pPr>
        <w:pStyle w:val="Heading2"/>
      </w:pPr>
      <w:r>
        <w:t xml:space="preserve">5. Risk Management</w:t>
      </w:r>
    </w:p>
    <w:p>
      <w:pPr>
        <w:pStyle w:val="FirstParagraph"/>
      </w:pPr>
      <w:r>
        <w:t xml:space="preserve">A comprehensive risk assessment has been conducted to identify potential hazards associated with the experiment. The Biomedical Engineer is responsible for implementing mitigation strategies to minimize risks to participants and staff. Key risks include:</w:t>
      </w:r>
    </w:p>
    <w:p>
      <w:pPr>
        <w:numPr>
          <w:ilvl w:val="0"/>
          <w:numId w:val="1003"/>
        </w:numPr>
        <w:pStyle w:val="Compact"/>
      </w:pPr>
      <w:r>
        <w:rPr>
          <w:bCs/>
          <w:b/>
        </w:rPr>
        <w:t xml:space="preserve">Infection:</w:t>
      </w:r>
      <w:r>
        <w:t xml:space="preserve"> </w:t>
      </w:r>
      <w:r>
        <w:t xml:space="preserve">Strict sterile procedures will be followed during implantation to prevent infection.</w:t>
      </w:r>
    </w:p>
    <w:p>
      <w:pPr>
        <w:numPr>
          <w:ilvl w:val="0"/>
          <w:numId w:val="1003"/>
        </w:numPr>
        <w:pStyle w:val="Compact"/>
      </w:pPr>
      <w:r>
        <w:rPr>
          <w:bCs/>
          <w:b/>
        </w:rPr>
        <w:t xml:space="preserve">Device Failure:</w:t>
      </w:r>
      <w:r>
        <w:t xml:space="preserve"> </w:t>
      </w:r>
      <w:r>
        <w:t xml:space="preserve">Regular monitoring and backup systems will be in place to detect and address any device malfunctions promptly.</w:t>
      </w:r>
    </w:p>
    <w:p>
      <w:pPr>
        <w:numPr>
          <w:ilvl w:val="0"/>
          <w:numId w:val="1003"/>
        </w:numPr>
        <w:pStyle w:val="Compact"/>
      </w:pPr>
      <w:r>
        <w:rPr>
          <w:bCs/>
          <w:b/>
        </w:rPr>
        <w:t xml:space="preserve">Data Breach:</w:t>
      </w:r>
      <w:r>
        <w:t xml:space="preserve"> </w:t>
      </w:r>
      <w:r>
        <w:t xml:space="preserve">Advanced encryption and secure storage solutions will be used to protect participant data.</w:t>
      </w:r>
    </w:p>
    <w:bookmarkEnd w:id="29"/>
    <w:bookmarkStart w:id="30" w:name="data-collection-and-analysis"/>
    <w:p>
      <w:pPr>
        <w:pStyle w:val="Heading2"/>
      </w:pPr>
      <w:r>
        <w:t xml:space="preserve">6. Data Collection and Analysis</w:t>
      </w:r>
    </w:p>
    <w:p>
      <w:pPr>
        <w:pStyle w:val="FirstParagraph"/>
      </w:pPr>
      <w:r>
        <w:t xml:space="preserve">Data will be collected using standardized forms and electronic data capture systems. The Biomedical Engineer will ensure that all data is accurate, complete, and verifiable. Statistical analysis will be performed to evaluate the primary and secondary objectives of the study. Results will be documented in a final report, which will be submitted to the relevant authorities in the United Arab Emirates.</w:t>
      </w:r>
    </w:p>
    <w:bookmarkEnd w:id="30"/>
    <w:bookmarkStart w:id="31" w:name="conclusion"/>
    <w:p>
      <w:pPr>
        <w:pStyle w:val="Heading2"/>
      </w:pPr>
      <w:r>
        <w:t xml:space="preserve">7. Conclusion</w:t>
      </w:r>
    </w:p>
    <w:p>
      <w:pPr>
        <w:pStyle w:val="FirstParagraph"/>
      </w:pPr>
      <w:r>
        <w:t xml:space="preserve">This Experiment Protocol provides a detailed framework for conducting biomedical engineering research in Dubai, United Arab Emirates. By adhering to the highest standards of scientific rigor, ethical conduct, and regulatory compliance, this study aims to advance the field of biomedical engineering and improve healthcare outcomes for patients in the region and beyond.</w:t>
      </w:r>
    </w:p>
    <w:bookmarkEnd w:id="31"/>
    <w:p>
      <w:pPr>
        <w:pStyle w:val="BodyText"/>
      </w:pPr>
      <w:r>
        <w:rPr>
          <w:bCs/>
          <w:b/>
        </w:rPr>
        <w:t xml:space="preserve">Principal Investigator (Biomedical Engineer)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p>
      <w:pPr>
        <w:pStyle w:val="BodyText"/>
      </w:pPr>
      <w:r>
        <w:rPr>
          <w:bCs/>
          <w:b/>
        </w:rPr>
        <w:t xml:space="preserve">Ethics Committee Chair</w:t>
      </w:r>
    </w:p>
    <w:p>
      <w:pPr>
        <w:pStyle w:val="BodyText"/>
      </w:pPr>
      <w:r>
        <w:t xml:space="preserve">Name: _________________________</w:t>
      </w:r>
    </w:p>
    <w:p>
      <w:pPr>
        <w:pStyle w:val="BodyText"/>
      </w:pPr>
      <w:r>
        <w:t xml:space="preserve">Signature: ______________________</w:t>
      </w:r>
    </w:p>
    <w:p>
      <w:pPr>
        <w:pStyle w:val="BodyText"/>
      </w:pPr>
      <w:r>
        <w:t xml:space="preserve">Date: __________________________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Dubai, UAE</dc:title>
  <dc:creator/>
  <dc:language>en</dc:language>
  <cp:keywords/>
  <dcterms:created xsi:type="dcterms:W3CDTF">2026-10-10T03:43:23Z</dcterms:created>
  <dcterms:modified xsi:type="dcterms:W3CDTF">2026-10-10T03:43:23Z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