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Biocompatibility and Mechanical Properties of Novel Polymer-Based Implants</w:t>
      </w:r>
    </w:p>
    <w:p>
      <w:pPr>
        <w:pStyle w:val="BodyText"/>
      </w:pPr>
      <w:r>
        <w:rPr>
          <w:bCs/>
          <w:b/>
        </w:rPr>
        <w:t xml:space="preserve">Principal Investigator:</w:t>
      </w:r>
      <w:r>
        <w:t xml:space="preserve"> </w:t>
      </w:r>
      <w:r>
        <w:t xml:space="preserve">Dr. Jane Smith, Biomedical Engineer</w:t>
      </w:r>
    </w:p>
    <w:p>
      <w:pPr>
        <w:pStyle w:val="BodyText"/>
      </w:pPr>
      <w:r>
        <w:rPr>
          <w:bCs/>
          <w:b/>
        </w:rPr>
        <w:t xml:space="preserve">Institution:</w:t>
      </w:r>
      <w:r>
        <w:t xml:space="preserve"> </w:t>
      </w:r>
      <w:r>
        <w:t xml:space="preserve">University of Birmingham, United Kingdom Birmingham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the biocompatibility and mechanical properties of a novel polymer-based implant material. The research is conducted by a team of Biomedical Engineers at the University of Birmingham, located in United Kingdom Birmingham. The primary objective is to assess the suitability of this material for use in orthopedic applications, ensuring it meets the stringent regulatory and safety standards required in the United Kingdom.</w:t>
      </w:r>
    </w:p>
    <w:p>
      <w:pPr>
        <w:pStyle w:val="BodyText"/>
      </w:pPr>
      <w:r>
        <w:t xml:space="preserve">2. Objectives</w:t>
      </w:r>
    </w:p>
    <w:p>
      <w:pPr>
        <w:numPr>
          <w:ilvl w:val="0"/>
          <w:numId w:val="1001"/>
        </w:numPr>
        <w:pStyle w:val="Compact"/>
      </w:pPr>
      <w:r>
        <w:t xml:space="preserve">To evaluate the biocompatibility of the novel polymer-based implant material using in vitro and in vivo tests.</w:t>
      </w:r>
    </w:p>
    <w:p>
      <w:pPr>
        <w:numPr>
          <w:ilvl w:val="0"/>
          <w:numId w:val="1001"/>
        </w:numPr>
        <w:pStyle w:val="Compact"/>
      </w:pPr>
      <w:r>
        <w:t xml:space="preserve">To assess the mechanical properties of the material, including tensile strength, compressive strength, and fatigue resistance.</w:t>
      </w:r>
    </w:p>
    <w:p>
      <w:pPr>
        <w:numPr>
          <w:ilvl w:val="0"/>
          <w:numId w:val="1001"/>
        </w:numPr>
        <w:pStyle w:val="Compact"/>
      </w:pPr>
      <w:r>
        <w:t xml:space="preserve">To compare the performance of the novel material with existing implant materials used in orthopedic applications.</w:t>
      </w:r>
    </w:p>
    <w:p>
      <w:pPr>
        <w:numPr>
          <w:ilvl w:val="0"/>
          <w:numId w:val="1001"/>
        </w:numPr>
        <w:pStyle w:val="Compact"/>
      </w:pPr>
      <w:r>
        <w:t xml:space="preserve">To ensure compliance with relevant United Kingdom and European Union regulations for medical devices.</w:t>
      </w:r>
    </w:p>
    <w:p>
      <w:pPr>
        <w:pStyle w:val="FirstParagraph"/>
      </w:pPr>
      <w:r>
        <w:t xml:space="preserve">3. Materials and Methods</w:t>
      </w:r>
    </w:p>
    <w:bookmarkStart w:id="21" w:name="materials"/>
    <w:p>
      <w:pPr>
        <w:pStyle w:val="Heading3"/>
      </w:pPr>
      <w:r>
        <w:t xml:space="preserve">3.1 Materials</w:t>
      </w:r>
    </w:p>
    <w:p>
      <w:pPr>
        <w:numPr>
          <w:ilvl w:val="0"/>
          <w:numId w:val="1002"/>
        </w:numPr>
        <w:pStyle w:val="Compact"/>
      </w:pPr>
      <w:r>
        <w:t xml:space="preserve">Novel polymer-based implant material (Sample A)</w:t>
      </w:r>
    </w:p>
    <w:p>
      <w:pPr>
        <w:numPr>
          <w:ilvl w:val="0"/>
          <w:numId w:val="1002"/>
        </w:numPr>
        <w:pStyle w:val="Compact"/>
      </w:pPr>
      <w:r>
        <w:t xml:space="preserve">Control implant material (Sample B)</w:t>
      </w:r>
    </w:p>
    <w:p>
      <w:pPr>
        <w:numPr>
          <w:ilvl w:val="0"/>
          <w:numId w:val="1002"/>
        </w:numPr>
        <w:pStyle w:val="Compact"/>
      </w:pPr>
      <w:r>
        <w:t xml:space="preserve">Cell culture media and reagents</w:t>
      </w:r>
    </w:p>
    <w:p>
      <w:pPr>
        <w:numPr>
          <w:ilvl w:val="0"/>
          <w:numId w:val="1002"/>
        </w:numPr>
        <w:pStyle w:val="Compact"/>
      </w:pPr>
      <w:r>
        <w:t xml:space="preserve">Animal models (mice and rabbits)</w:t>
      </w:r>
    </w:p>
    <w:p>
      <w:pPr>
        <w:numPr>
          <w:ilvl w:val="0"/>
          <w:numId w:val="1002"/>
        </w:numPr>
        <w:pStyle w:val="Compact"/>
      </w:pPr>
      <w:r>
        <w:t xml:space="preserve">Mechanical testing equipment (universal testing machine, fatigue tester)</w:t>
      </w:r>
    </w:p>
    <w:bookmarkEnd w:id="21"/>
    <w:bookmarkStart w:id="25" w:name="methods"/>
    <w:p>
      <w:pPr>
        <w:pStyle w:val="Heading3"/>
      </w:pPr>
      <w:r>
        <w:t xml:space="preserve">3.2 Methods</w:t>
      </w:r>
    </w:p>
    <w:bookmarkStart w:id="22" w:name="in-vitro-biocompatibility-testing"/>
    <w:p>
      <w:pPr>
        <w:pStyle w:val="Heading4"/>
      </w:pPr>
      <w:r>
        <w:t xml:space="preserve">3.2.1 In Vitro Biocompatibility Testing</w:t>
      </w:r>
    </w:p>
    <w:p>
      <w:pPr>
        <w:pStyle w:val="FirstParagraph"/>
      </w:pPr>
      <w:r>
        <w:t xml:space="preserve">Cell viability assays will be conducted using human osteoblast cells. The cells will be cultured on the surface of Sample A and Sample B for 7 days. Cell viability will be assessed using the MTT assay, and cell morphology will be examined using scanning electron microscopy (SEM).</w:t>
      </w:r>
    </w:p>
    <w:bookmarkEnd w:id="22"/>
    <w:bookmarkStart w:id="23" w:name="in-vivo-biocompatibility-testing"/>
    <w:p>
      <w:pPr>
        <w:pStyle w:val="Heading4"/>
      </w:pPr>
      <w:r>
        <w:t xml:space="preserve">3.2.2 In Vivo Biocompatibility Testing</w:t>
      </w:r>
    </w:p>
    <w:p>
      <w:pPr>
        <w:pStyle w:val="FirstParagraph"/>
      </w:pPr>
      <w:r>
        <w:t xml:space="preserve">Animal studies will be conducted in accordance with the United Kingdom Animals (Scientific Procedures) Act 1986. Sample A and Sample B will be implanted subcutaneously in mice and orthopedically in rabbits. After 4 weeks, the implants will be retrieved, and histological analysis will be performed to assess tissue response and biocompatibility.</w:t>
      </w:r>
    </w:p>
    <w:bookmarkEnd w:id="23"/>
    <w:bookmarkStart w:id="24" w:name="mechanical-testing"/>
    <w:p>
      <w:pPr>
        <w:pStyle w:val="Heading4"/>
      </w:pPr>
      <w:r>
        <w:t xml:space="preserve">3.2.3 Mechanical Testing</w:t>
      </w:r>
    </w:p>
    <w:p>
      <w:pPr>
        <w:pStyle w:val="FirstParagraph"/>
      </w:pPr>
      <w:r>
        <w:t xml:space="preserve">Tensile strength, compressive strength, and fatigue resistance of Sample A and Sample B will be measured using a universal testing machine and a fatigue tester. The results will be compared to determine the mechanical performance of the novel material.</w:t>
      </w:r>
    </w:p>
    <w:bookmarkEnd w:id="24"/>
    <w:bookmarkEnd w:id="25"/>
    <w:p>
      <w:pPr>
        <w:pStyle w:val="BodyText"/>
      </w:pPr>
      <w:r>
        <w:t xml:space="preserve">4. Ethical Considerations</w:t>
      </w:r>
    </w:p>
    <w:p>
      <w:pPr>
        <w:pStyle w:val="BodyText"/>
      </w:pPr>
      <w:r>
        <w:t xml:space="preserve">This study has been reviewed and approved by the University of Birmingham Ethics Committee. All animal procedures will be conducted in accordance with the United Kingdom Animals (Scientific Procedures) Act 1986 and the guidelines set forth by the Home Office. Informed consent will be obtained for any human cell lines used in the study.</w:t>
      </w:r>
    </w:p>
    <w:p>
      <w:pPr>
        <w:pStyle w:val="BodyText"/>
      </w:pPr>
      <w:r>
        <w:t xml:space="preserve">5. Data Analysis</w:t>
      </w:r>
    </w:p>
    <w:p>
      <w:pPr>
        <w:pStyle w:val="BodyText"/>
      </w:pPr>
      <w:r>
        <w:t xml:space="preserve">Data will be analyzed using statistical software (e.g., SPSS). Comparisons between Sample A and Sample B will be made using appropriate statistical tests (e.g., t-tests, ANOVA). A p-value of less than 0.05 will be considered statistically significant.</w:t>
      </w:r>
    </w:p>
    <w:p>
      <w:pPr>
        <w:pStyle w:val="BodyText"/>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In Vitro Biocompatibility Testing</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In Vivo Biocompatibility Testing</w:t>
            </w:r>
          </w:p>
        </w:tc>
        <w:tc>
          <w:tcPr/>
          <w:p>
            <w:pPr>
              <w:pStyle w:val="Compact"/>
              <w:jc w:val="left"/>
            </w:pPr>
            <w:r>
              <w:t xml:space="preserve">8 weeks</w:t>
            </w:r>
          </w:p>
        </w:tc>
        <w:tc>
          <w:tcPr/>
          <w:p>
            <w:pPr>
              <w:pStyle w:val="Compact"/>
              <w:jc w:val="left"/>
            </w:pPr>
            <w:r>
              <w:t xml:space="preserve">December 1, 2023</w:t>
            </w:r>
          </w:p>
        </w:tc>
        <w:tc>
          <w:tcPr/>
          <w:p>
            <w:pPr>
              <w:pStyle w:val="Compact"/>
              <w:jc w:val="left"/>
            </w:pPr>
            <w:r>
              <w:t xml:space="preserve">January 31, 2024</w:t>
            </w:r>
          </w:p>
        </w:tc>
      </w:tr>
      <w:tr>
        <w:tc>
          <w:tcPr/>
          <w:p>
            <w:pPr>
              <w:pStyle w:val="Compact"/>
              <w:jc w:val="left"/>
            </w:pPr>
            <w:r>
              <w:t xml:space="preserve">Mechanical Testing</w:t>
            </w:r>
          </w:p>
        </w:tc>
        <w:tc>
          <w:tcPr/>
          <w:p>
            <w:pPr>
              <w:pStyle w:val="Compact"/>
              <w:jc w:val="left"/>
            </w:pPr>
            <w:r>
              <w:t xml:space="preserve">4 weeks</w:t>
            </w:r>
          </w:p>
        </w:tc>
        <w:tc>
          <w:tcPr/>
          <w:p>
            <w:pPr>
              <w:pStyle w:val="Compact"/>
              <w:jc w:val="left"/>
            </w:pPr>
            <w:r>
              <w:t xml:space="preserve">February 1, 2024</w:t>
            </w:r>
          </w:p>
        </w:tc>
        <w:tc>
          <w:tcPr/>
          <w:p>
            <w:pPr>
              <w:pStyle w:val="Compact"/>
              <w:jc w:val="left"/>
            </w:pPr>
            <w:r>
              <w:t xml:space="preserve">February 29, 2024</w:t>
            </w:r>
          </w:p>
        </w:tc>
      </w:tr>
      <w:tr>
        <w:tc>
          <w:tcPr/>
          <w:p>
            <w:pPr>
              <w:pStyle w:val="Compact"/>
              <w:jc w:val="left"/>
            </w:pPr>
            <w:r>
              <w:t xml:space="preserve">Data Analysis and Reporting</w:t>
            </w:r>
          </w:p>
        </w:tc>
        <w:tc>
          <w:tcPr/>
          <w:p>
            <w:pPr>
              <w:pStyle w:val="Compact"/>
              <w:jc w:val="left"/>
            </w:pPr>
            <w:r>
              <w:t xml:space="preserve">4 weeks</w:t>
            </w:r>
          </w:p>
        </w:tc>
        <w:tc>
          <w:tcPr/>
          <w:p>
            <w:pPr>
              <w:pStyle w:val="Compact"/>
              <w:jc w:val="left"/>
            </w:pPr>
            <w:r>
              <w:t xml:space="preserve">March 1, 2024</w:t>
            </w:r>
          </w:p>
        </w:tc>
        <w:tc>
          <w:tcPr/>
          <w:p>
            <w:pPr>
              <w:pStyle w:val="Compact"/>
              <w:jc w:val="left"/>
            </w:pPr>
            <w:r>
              <w:t xml:space="preserve">March 31, 2024</w:t>
            </w:r>
          </w:p>
        </w:tc>
      </w:tr>
    </w:tbl>
    <w:p>
      <w:pPr>
        <w:pStyle w:val="BodyText"/>
      </w:pPr>
      <w:r>
        <w:t xml:space="preserve">7. Expected Outcomes</w:t>
      </w:r>
    </w:p>
    <w:p>
      <w:pPr>
        <w:pStyle w:val="BodyText"/>
      </w:pPr>
      <w:r>
        <w:t xml:space="preserve">The expected outcomes of this study include:</w:t>
      </w:r>
    </w:p>
    <w:p>
      <w:pPr>
        <w:numPr>
          <w:ilvl w:val="0"/>
          <w:numId w:val="1003"/>
        </w:numPr>
        <w:pStyle w:val="Compact"/>
      </w:pPr>
      <w:r>
        <w:t xml:space="preserve">Demonstration of the biocompatibility of the novel polymer-based implant material.</w:t>
      </w:r>
    </w:p>
    <w:p>
      <w:pPr>
        <w:numPr>
          <w:ilvl w:val="0"/>
          <w:numId w:val="1003"/>
        </w:numPr>
        <w:pStyle w:val="Compact"/>
      </w:pPr>
      <w:r>
        <w:t xml:space="preserve">Confirmation of the mechanical properties of the material, showing it is suitable for orthopedic applications.</w:t>
      </w:r>
    </w:p>
    <w:p>
      <w:pPr>
        <w:numPr>
          <w:ilvl w:val="0"/>
          <w:numId w:val="1003"/>
        </w:numPr>
        <w:pStyle w:val="Compact"/>
      </w:pPr>
      <w:r>
        <w:t xml:space="preserve">Comparison data showing the novel material performs comparably or better than existing implant materials.</w:t>
      </w:r>
    </w:p>
    <w:p>
      <w:pPr>
        <w:numPr>
          <w:ilvl w:val="0"/>
          <w:numId w:val="1003"/>
        </w:numPr>
        <w:pStyle w:val="Compact"/>
      </w:pPr>
      <w:r>
        <w:t xml:space="preserve">Compliance with United Kingdom and European Union regulations for medical devices.</w:t>
      </w:r>
    </w:p>
    <w:p>
      <w:pPr>
        <w:pStyle w:val="FirstParagraph"/>
      </w:pPr>
      <w:r>
        <w:t xml:space="preserve">8. Conclusion</w:t>
      </w:r>
    </w:p>
    <w:p>
      <w:pPr>
        <w:pStyle w:val="BodyText"/>
      </w:pPr>
      <w:r>
        <w:t xml:space="preserve">This Experiment Protocol provides a comprehensive framework for evaluating the biocompatibility and mechanical properties of a novel polymer-based implant material. Conducted by Biomedical Engineers at the University of Birmingham in United Kingdom Birmingham, this study aims to contribute to the development of safer and more effective orthopedic implants, adhering to the highest standards of scientific rigor and ethical responsibility.</w:t>
      </w:r>
    </w:p>
    <w:p>
      <w:pPr>
        <w:pStyle w:val="BodyText"/>
      </w:pPr>
      <w:r>
        <w:t xml:space="preserve">For further information, please contact Dr. Jane Smith at the University of Birmingham,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dc:title>
  <dc:creator/>
  <dc:language>en</dc:language>
  <cp:keywords/>
  <dcterms:created xsi:type="dcterms:W3CDTF">2026-10-10T06:25:36Z</dcterms:created>
  <dcterms:modified xsi:type="dcterms:W3CDTF">2026-10-10T06:25:36Z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