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Biocompatibility and Mechanical Integrity of Novel Polymeric Scaffolds for Tissue Engineering Applications</w:t>
      </w:r>
    </w:p>
    <w:p>
      <w:pPr>
        <w:pStyle w:val="BodyText"/>
      </w:pPr>
      <w:r>
        <w:rPr>
          <w:bCs/>
          <w:b/>
        </w:rPr>
        <w:t xml:space="preserve">Principal Investigator:</w:t>
      </w:r>
      <w:r>
        <w:t xml:space="preserve"> </w:t>
      </w:r>
      <w:r>
        <w:t xml:space="preserve">Dr. Elena Rodriguez, Senior Biomedical Engineer</w:t>
      </w:r>
    </w:p>
    <w:p>
      <w:pPr>
        <w:pStyle w:val="BodyText"/>
      </w:pPr>
      <w:r>
        <w:rPr>
          <w:bCs/>
          <w:b/>
        </w:rPr>
        <w:t xml:space="preserve">Institution:</w:t>
      </w:r>
      <w:r>
        <w:t xml:space="preserve"> </w:t>
      </w:r>
      <w:r>
        <w:t xml:space="preserve">Los Angeles Biomedical Research Institute (LABRI)</w:t>
      </w:r>
    </w:p>
    <w:p>
      <w:pPr>
        <w:pStyle w:val="BodyText"/>
      </w:pPr>
      <w:r>
        <w:rPr>
          <w:bCs/>
          <w:b/>
        </w:rPr>
        <w:t xml:space="preserve">Location:</w:t>
      </w:r>
      <w:r>
        <w:t xml:space="preserve"> </w:t>
      </w:r>
      <w:r>
        <w:t xml:space="preserve">United States, Los Angeles, California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End w:id="20"/>
    <w:p>
      <w:pPr>
        <w:pStyle w:val="BodyText"/>
      </w:pPr>
      <w:r>
        <w:t xml:space="preserve">1. Introduction and Background</w:t>
      </w:r>
    </w:p>
    <w:p>
      <w:pPr>
        <w:pStyle w:val="BodyText"/>
      </w:pPr>
      <w:r>
        <w:t xml:space="preserve">This Experiment Protocol outlines the procedures for a study conducted by a team of Biomedical Engineers at a research facility in Los Angeles, United States. The primary objective is to assess the biocompatibility and mechanical properties of a newly developed polymeric scaffold intended for use in regenerative medicine. Given the rapid advancements in tissue engineering within the Los Angeles biomedical community, this research aims to contribute to the development of innovative solutions for tissue repair and regeneration.</w:t>
      </w:r>
    </w:p>
    <w:p>
      <w:pPr>
        <w:pStyle w:val="BodyText"/>
      </w:pPr>
      <w:r>
        <w:t xml:space="preserve">The role of the Biomedical Engineer in this study is critical, as it involves the design, fabrication, and testing of the scaffolds, as well as the analysis of experimental data to ensure compliance with regulatory standards set by the U.S. Food and Drug Administration (FDA).</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evaluate the mechanical strength and elasticity of the polymeric scaffolds under simulated physiological conditions.</w:t>
      </w:r>
    </w:p>
    <w:p>
      <w:pPr>
        <w:numPr>
          <w:ilvl w:val="0"/>
          <w:numId w:val="1001"/>
        </w:numPr>
        <w:pStyle w:val="Compact"/>
      </w:pPr>
      <w:r>
        <w:t xml:space="preserve">To assess the biocompatibility of the scaffolds using in vitro cell culture models.</w:t>
      </w:r>
    </w:p>
    <w:p>
      <w:pPr>
        <w:numPr>
          <w:ilvl w:val="0"/>
          <w:numId w:val="1001"/>
        </w:numPr>
        <w:pStyle w:val="Compact"/>
      </w:pPr>
      <w:r>
        <w:t xml:space="preserve">To determine the degradation rate of the scaffolds in a controlled environment.</w:t>
      </w:r>
    </w:p>
    <w:p>
      <w:pPr>
        <w:numPr>
          <w:ilvl w:val="0"/>
          <w:numId w:val="1001"/>
        </w:numPr>
        <w:pStyle w:val="Compact"/>
      </w:pPr>
      <w:r>
        <w:t xml:space="preserve">To ensure all procedures adhere to ethical guidelines and regulatory requirements in the United States.</w:t>
      </w:r>
    </w:p>
    <w:p>
      <w:pPr>
        <w:pStyle w:val="FirstParagraph"/>
      </w:pPr>
      <w:r>
        <w:t xml:space="preserve">3. Materials and Methods</w:t>
      </w:r>
    </w:p>
    <w:p>
      <w:pPr>
        <w:pStyle w:val="BodyText"/>
      </w:pPr>
      <w:r>
        <w:rPr>
          <w:bCs/>
          <w:b/>
        </w:rPr>
        <w:t xml:space="preserve">3.1 Materials:</w:t>
      </w:r>
    </w:p>
    <w:p>
      <w:pPr>
        <w:numPr>
          <w:ilvl w:val="0"/>
          <w:numId w:val="1002"/>
        </w:numPr>
        <w:pStyle w:val="Compact"/>
      </w:pPr>
      <w:r>
        <w:t xml:space="preserve">Polymeric scaffold samples (fabricated in-house by Biomedical Engineers).</w:t>
      </w:r>
    </w:p>
    <w:p>
      <w:pPr>
        <w:numPr>
          <w:ilvl w:val="0"/>
          <w:numId w:val="1002"/>
        </w:numPr>
        <w:pStyle w:val="Compact"/>
      </w:pPr>
      <w:r>
        <w:t xml:space="preserve">Cell culture media and reagents.</w:t>
      </w:r>
    </w:p>
    <w:p>
      <w:pPr>
        <w:numPr>
          <w:ilvl w:val="0"/>
          <w:numId w:val="1002"/>
        </w:numPr>
        <w:pStyle w:val="Compact"/>
      </w:pPr>
      <w:r>
        <w:t xml:space="preserve">Human fibroblast cell lines (sourced from certified suppliers).</w:t>
      </w:r>
    </w:p>
    <w:p>
      <w:pPr>
        <w:numPr>
          <w:ilvl w:val="0"/>
          <w:numId w:val="1002"/>
        </w:numPr>
        <w:pStyle w:val="Compact"/>
      </w:pPr>
      <w:r>
        <w:t xml:space="preserve">Mechanical testing equipment (universal testing machine).</w:t>
      </w:r>
    </w:p>
    <w:p>
      <w:pPr>
        <w:numPr>
          <w:ilvl w:val="0"/>
          <w:numId w:val="1002"/>
        </w:numPr>
        <w:pStyle w:val="Compact"/>
      </w:pPr>
      <w:r>
        <w:t xml:space="preserve">Incubators and biosafety cabinets.</w:t>
      </w:r>
    </w:p>
    <w:p>
      <w:pPr>
        <w:pStyle w:val="FirstParagraph"/>
      </w:pPr>
      <w:r>
        <w:rPr>
          <w:bCs/>
          <w:b/>
        </w:rPr>
        <w:t xml:space="preserve">3.2 Methods:</w:t>
      </w:r>
    </w:p>
    <w:p>
      <w:pPr>
        <w:pStyle w:val="BodyText"/>
      </w:pPr>
      <w:r>
        <w:rPr>
          <w:bCs/>
          <w:b/>
        </w:rPr>
        <w:t xml:space="preserve">3.2.1 Scaffold Fabrication:</w:t>
      </w:r>
      <w:r>
        <w:t xml:space="preserve"> </w:t>
      </w:r>
      <w:r>
        <w:t xml:space="preserve">The scaffolds will be fabricated using electrospinning techniques, a process overseen by the Biomedical Engineer to ensure consistency and quality.</w:t>
      </w:r>
    </w:p>
    <w:p>
      <w:pPr>
        <w:pStyle w:val="BodyText"/>
      </w:pPr>
      <w:r>
        <w:rPr>
          <w:bCs/>
          <w:b/>
        </w:rPr>
        <w:t xml:space="preserve">3.2.2 Mechanical Testing:</w:t>
      </w:r>
      <w:r>
        <w:t xml:space="preserve"> </w:t>
      </w:r>
      <w:r>
        <w:t xml:space="preserve">Mechanical properties will be evaluated using a universal testing machine. Samples will be subjected to tensile and compressive forces to measure strength and elasticity.</w:t>
      </w:r>
    </w:p>
    <w:p>
      <w:pPr>
        <w:pStyle w:val="BodyText"/>
      </w:pPr>
      <w:r>
        <w:rPr>
          <w:bCs/>
          <w:b/>
        </w:rPr>
        <w:t xml:space="preserve">3.2.3 Biocompatibility Assessment:</w:t>
      </w:r>
      <w:r>
        <w:t xml:space="preserve"> </w:t>
      </w:r>
      <w:r>
        <w:t xml:space="preserve">Human fibroblast cells will be cultured on the scaffolds. Cell viability and proliferation will be assessed using standard assays (e.g., MTT assay).</w:t>
      </w:r>
    </w:p>
    <w:p>
      <w:pPr>
        <w:pStyle w:val="BodyText"/>
      </w:pPr>
      <w:r>
        <w:rPr>
          <w:bCs/>
          <w:b/>
        </w:rPr>
        <w:t xml:space="preserve">3.2.4 Degradation Study:</w:t>
      </w:r>
      <w:r>
        <w:t xml:space="preserve"> </w:t>
      </w:r>
      <w:r>
        <w:t xml:space="preserve">Scaffolds will be immersed in a simulated body fluid (SBF) and monitored over time to determine degradation rates.</w:t>
      </w:r>
    </w:p>
    <w:p>
      <w:pPr>
        <w:pStyle w:val="BodyText"/>
      </w:pPr>
      <w:r>
        <w:t xml:space="preserve">4. Ethical Considerations</w:t>
      </w:r>
    </w:p>
    <w:p>
      <w:pPr>
        <w:pStyle w:val="BodyText"/>
      </w:pPr>
      <w:r>
        <w:t xml:space="preserve">This study will be conducted in accordance with ethical guidelines established by the Institutional Review Board (IRB) of the Los Angeles Biomedical Research Institute. All cell lines used will be sourced ethically, and no human or animal subjects will be directly involved in this phase of the research. The Biomedical Engineer is responsible for ensuring compliance with all ethical and regulatory standards.</w:t>
      </w:r>
    </w:p>
    <w:p>
      <w:pPr>
        <w:pStyle w:val="BodyText"/>
      </w:pPr>
      <w:r>
        <w:t xml:space="preserve">5. Data Collection and Analysis</w:t>
      </w:r>
    </w:p>
    <w:p>
      <w:pPr>
        <w:pStyle w:val="BodyText"/>
      </w:pPr>
      <w:r>
        <w:t xml:space="preserve">Data will be collected systematically and stored securely in compliance with data protection regulations in the United States. Statistical analysis will be performed using appropriate software to determine the significance of the results. The Biomedical Engineer will oversee the data analysis process to ensure accuracy and reliability.</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Responsible Party</w:t>
            </w:r>
          </w:p>
        </w:tc>
      </w:tr>
      <w:tr>
        <w:tc>
          <w:tcPr/>
          <w:p>
            <w:pPr>
              <w:pStyle w:val="Compact"/>
              <w:jc w:val="left"/>
            </w:pPr>
            <w:r>
              <w:t xml:space="preserve">Scaffold Fabrication</w:t>
            </w:r>
          </w:p>
        </w:tc>
        <w:tc>
          <w:tcPr/>
          <w:p>
            <w:pPr>
              <w:pStyle w:val="Compact"/>
              <w:jc w:val="left"/>
            </w:pPr>
            <w:r>
              <w:t xml:space="preserve">2 weeks</w:t>
            </w:r>
          </w:p>
        </w:tc>
        <w:tc>
          <w:tcPr/>
          <w:p>
            <w:pPr>
              <w:pStyle w:val="Compact"/>
              <w:jc w:val="left"/>
            </w:pPr>
            <w:r>
              <w:t xml:space="preserve">Biomedical Engineer</w:t>
            </w:r>
          </w:p>
        </w:tc>
      </w:tr>
      <w:tr>
        <w:tc>
          <w:tcPr/>
          <w:p>
            <w:pPr>
              <w:pStyle w:val="Compact"/>
              <w:jc w:val="left"/>
            </w:pPr>
            <w:r>
              <w:t xml:space="preserve">Mechanical Testing</w:t>
            </w:r>
          </w:p>
        </w:tc>
        <w:tc>
          <w:tcPr/>
          <w:p>
            <w:pPr>
              <w:pStyle w:val="Compact"/>
              <w:jc w:val="left"/>
            </w:pPr>
            <w:r>
              <w:t xml:space="preserve">3 weeks</w:t>
            </w:r>
          </w:p>
        </w:tc>
        <w:tc>
          <w:tcPr/>
          <w:p>
            <w:pPr>
              <w:pStyle w:val="Compact"/>
              <w:jc w:val="left"/>
            </w:pPr>
            <w:r>
              <w:t xml:space="preserve">Biomedical Engineer</w:t>
            </w:r>
          </w:p>
        </w:tc>
      </w:tr>
      <w:tr>
        <w:tc>
          <w:tcPr/>
          <w:p>
            <w:pPr>
              <w:pStyle w:val="Compact"/>
              <w:jc w:val="left"/>
            </w:pPr>
            <w:r>
              <w:t xml:space="preserve">Biocompatibility Assessment</w:t>
            </w:r>
          </w:p>
        </w:tc>
        <w:tc>
          <w:tcPr/>
          <w:p>
            <w:pPr>
              <w:pStyle w:val="Compact"/>
              <w:jc w:val="left"/>
            </w:pPr>
            <w:r>
              <w:t xml:space="preserve">4 weeks</w:t>
            </w:r>
          </w:p>
        </w:tc>
        <w:tc>
          <w:tcPr/>
          <w:p>
            <w:pPr>
              <w:pStyle w:val="Compact"/>
              <w:jc w:val="left"/>
            </w:pPr>
            <w:r>
              <w:t xml:space="preserve">Research Team</w:t>
            </w:r>
          </w:p>
        </w:tc>
      </w:tr>
      <w:tr>
        <w:tc>
          <w:tcPr/>
          <w:p>
            <w:pPr>
              <w:pStyle w:val="Compact"/>
              <w:jc w:val="left"/>
            </w:pPr>
            <w:r>
              <w:t xml:space="preserve">Degradation Study</w:t>
            </w:r>
          </w:p>
        </w:tc>
        <w:tc>
          <w:tcPr/>
          <w:p>
            <w:pPr>
              <w:pStyle w:val="Compact"/>
              <w:jc w:val="left"/>
            </w:pPr>
            <w:r>
              <w:t xml:space="preserve">6 weeks</w:t>
            </w:r>
          </w:p>
        </w:tc>
        <w:tc>
          <w:tcPr/>
          <w:p>
            <w:pPr>
              <w:pStyle w:val="Compact"/>
              <w:jc w:val="left"/>
            </w:pPr>
            <w:r>
              <w:t xml:space="preserve">Research Team</w:t>
            </w:r>
          </w:p>
        </w:tc>
      </w:tr>
      <w:tr>
        <w:tc>
          <w:tcPr/>
          <w:p>
            <w:pPr>
              <w:pStyle w:val="Compact"/>
              <w:jc w:val="left"/>
            </w:pPr>
            <w:r>
              <w:t xml:space="preserve">Data Analysis and Reporting</w:t>
            </w:r>
          </w:p>
        </w:tc>
        <w:tc>
          <w:tcPr/>
          <w:p>
            <w:pPr>
              <w:pStyle w:val="Compact"/>
              <w:jc w:val="left"/>
            </w:pPr>
            <w:r>
              <w:t xml:space="preserve">2 weeks</w:t>
            </w:r>
          </w:p>
        </w:tc>
        <w:tc>
          <w:tcPr/>
          <w:p>
            <w:pPr>
              <w:pStyle w:val="Compact"/>
              <w:jc w:val="left"/>
            </w:pPr>
            <w:r>
              <w:t xml:space="preserve">Biomedical Engineer</w:t>
            </w:r>
          </w:p>
        </w:tc>
      </w:tr>
    </w:tbl>
    <w:p>
      <w:pPr>
        <w:pStyle w:val="BodyText"/>
      </w:pPr>
      <w:r>
        <w:t xml:space="preserve">7. Conclusion</w:t>
      </w:r>
    </w:p>
    <w:p>
      <w:pPr>
        <w:pStyle w:val="BodyText"/>
      </w:pPr>
      <w:r>
        <w:t xml:space="preserve">This Experiment Protocol provides a comprehensive framework for the evaluation of novel polymeric scaffolds by Biomedical Engineers in Los Angeles, United States. By adhering to this protocol, the research team aims to generate valuable insights that could advance the field of tissue engineering and contribute to improved medical treatments.</w:t>
      </w:r>
    </w:p>
    <w:p>
      <w:pPr>
        <w:pStyle w:val="BodyText"/>
      </w:pPr>
      <w:r>
        <w:rPr>
          <w:bCs/>
          <w:b/>
        </w:rPr>
        <w:t xml:space="preserve">Principal Investigator Signature:</w:t>
      </w:r>
    </w:p>
    <w:p>
      <w:pPr>
        <w:pStyle w:val="BodyText"/>
      </w:pPr>
      <w:r>
        <w:t xml:space="preserve">Dr. Elena Rodriguez, Biomedical Engineer</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dc:title>
  <dc:creator/>
  <dc:language>en</dc:language>
  <cp:keywords/>
  <dcterms:created xsi:type="dcterms:W3CDTF">2026-10-10T01:06:46Z</dcterms:created>
  <dcterms:modified xsi:type="dcterms:W3CDTF">2026-10-10T01:06:46Z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