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Research</w:t>
      </w:r>
      <w:r>
        <w:t xml:space="preserve"> </w:t>
      </w:r>
      <w:r>
        <w:t xml:space="preserve">in</w:t>
      </w:r>
      <w:r>
        <w:t xml:space="preserve"> </w:t>
      </w:r>
      <w:r>
        <w:t xml:space="preserve">NYC</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Evaluation of Novel Biocompatible Sensors for Continuous Glucose Monitoring</w:t>
      </w:r>
    </w:p>
    <w:p>
      <w:pPr>
        <w:pStyle w:val="BodyText"/>
      </w:pPr>
      <w:r>
        <w:rPr>
          <w:bCs/>
          <w:b/>
        </w:rPr>
        <w:t xml:space="preserve">Principal Investigator:</w:t>
      </w:r>
      <w:r>
        <w:t xml:space="preserve"> </w:t>
      </w:r>
      <w:r>
        <w:t xml:space="preserve">Dr. Jane Doe, Biomedical Engineer</w:t>
      </w:r>
    </w:p>
    <w:p>
      <w:pPr>
        <w:pStyle w:val="BodyText"/>
      </w:pPr>
      <w:r>
        <w:rPr>
          <w:bCs/>
          <w:b/>
        </w:rPr>
        <w:t xml:space="preserve">Institution:</w:t>
      </w:r>
      <w:r>
        <w:t xml:space="preserve"> </w:t>
      </w:r>
      <w:r>
        <w:t xml:space="preserve">New York City Biomedical Research Institute</w:t>
      </w:r>
    </w:p>
    <w:p>
      <w:pPr>
        <w:pStyle w:val="BodyText"/>
      </w:pPr>
      <w:r>
        <w:rPr>
          <w:bCs/>
          <w:b/>
        </w:rPr>
        <w:t xml:space="preserve">Location:</w:t>
      </w:r>
      <w:r>
        <w:t xml:space="preserve"> </w:t>
      </w:r>
      <w:r>
        <w:t xml:space="preserve">United States, New York City, NY</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Experiment Protocol outlines the procedures for evaluating the performance of novel biocompatible sensors designed for continuous glucose monitoring (CGM). The research is conducted by a team of Biomedical Engineers at the New York City Biomedical Research Institute, located in the heart of the United States. The study aims to assess the accuracy, reliability, and safety of these sensors in a controlled environment before proceeding to clinical trials.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accuracy of the novel biocompatible sensors in measuring glucose levels in vitro.</w:t>
      </w:r>
    </w:p>
    <w:p>
      <w:pPr>
        <w:numPr>
          <w:ilvl w:val="0"/>
          <w:numId w:val="1001"/>
        </w:numPr>
        <w:pStyle w:val="Compact"/>
      </w:pPr>
      <w:r>
        <w:t xml:space="preserve">To assess the stability and durability of the sensors under various physiological conditions.</w:t>
      </w:r>
    </w:p>
    <w:p>
      <w:pPr>
        <w:numPr>
          <w:ilvl w:val="0"/>
          <w:numId w:val="1001"/>
        </w:numPr>
        <w:pStyle w:val="Compact"/>
      </w:pPr>
      <w:r>
        <w:t xml:space="preserve">To ensure compliance with regulatory standards set by the Food and Drug Administration (FDA) in the United States.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The study will be conducted in a controlled laboratory setting at the New York City Biomedical Research Institute. The experiment will involve the use of synthetic blood samples with known glucose concentrations to test the sensors' performance.</w:t>
      </w:r>
    </w:p>
    <w:bookmarkEnd w:id="23"/>
    <w:bookmarkStart w:id="24" w:name="materials"/>
    <w:p>
      <w:pPr>
        <w:pStyle w:val="Heading3"/>
      </w:pPr>
      <w:r>
        <w:t xml:space="preserve">3.2. Materials</w:t>
      </w:r>
    </w:p>
    <w:p>
      <w:pPr>
        <w:numPr>
          <w:ilvl w:val="0"/>
          <w:numId w:val="1002"/>
        </w:numPr>
        <w:pStyle w:val="Compact"/>
      </w:pPr>
      <w:r>
        <w:t xml:space="preserve">Novel biocompatible sensors</w:t>
      </w:r>
    </w:p>
    <w:p>
      <w:pPr>
        <w:numPr>
          <w:ilvl w:val="0"/>
          <w:numId w:val="1002"/>
        </w:numPr>
        <w:pStyle w:val="Compact"/>
      </w:pPr>
      <w:r>
        <w:t xml:space="preserve">Synthetic blood samples with varying glucose concentrations</w:t>
      </w:r>
    </w:p>
    <w:p>
      <w:pPr>
        <w:numPr>
          <w:ilvl w:val="0"/>
          <w:numId w:val="1002"/>
        </w:numPr>
        <w:pStyle w:val="Compact"/>
      </w:pPr>
      <w:r>
        <w:t xml:space="preserve">Calibration solutions</w:t>
      </w:r>
    </w:p>
    <w:p>
      <w:pPr>
        <w:numPr>
          <w:ilvl w:val="0"/>
          <w:numId w:val="1002"/>
        </w:numPr>
        <w:pStyle w:val="Compact"/>
      </w:pPr>
      <w:r>
        <w:t xml:space="preserve">Data acquisition system</w:t>
      </w:r>
    </w:p>
    <w:p>
      <w:pPr>
        <w:numPr>
          <w:ilvl w:val="0"/>
          <w:numId w:val="1002"/>
        </w:numPr>
        <w:pStyle w:val="Compact"/>
      </w:pPr>
      <w:r>
        <w:t xml:space="preserve">Environmental control chamber</w:t>
      </w:r>
    </w:p>
    <w:bookmarkEnd w:id="24"/>
    <w:bookmarkStart w:id="25" w:name="procedures"/>
    <w:p>
      <w:pPr>
        <w:pStyle w:val="Heading3"/>
      </w:pPr>
      <w:r>
        <w:t xml:space="preserve">3.3. Procedures</w:t>
      </w:r>
    </w:p>
    <w:p>
      <w:pPr>
        <w:numPr>
          <w:ilvl w:val="0"/>
          <w:numId w:val="1003"/>
        </w:numPr>
        <w:pStyle w:val="Compact"/>
      </w:pPr>
      <w:r>
        <w:rPr>
          <w:bCs/>
          <w:b/>
        </w:rPr>
        <w:t xml:space="preserve">Preparation:</w:t>
      </w:r>
      <w:r>
        <w:t xml:space="preserve"> </w:t>
      </w:r>
      <w:r>
        <w:t xml:space="preserve">Prepare synthetic blood samples with glucose concentrations ranging from 40 mg/dL to 400 mg/dL.</w:t>
      </w:r>
    </w:p>
    <w:p>
      <w:pPr>
        <w:numPr>
          <w:ilvl w:val="0"/>
          <w:numId w:val="1003"/>
        </w:numPr>
        <w:pStyle w:val="Compact"/>
      </w:pPr>
      <w:r>
        <w:rPr>
          <w:bCs/>
          <w:b/>
        </w:rPr>
        <w:t xml:space="preserve">Calibration:</w:t>
      </w:r>
      <w:r>
        <w:t xml:space="preserve"> </w:t>
      </w:r>
      <w:r>
        <w:t xml:space="preserve">Calibrate the sensors using standard calibration solutions.</w:t>
      </w:r>
    </w:p>
    <w:p>
      <w:pPr>
        <w:numPr>
          <w:ilvl w:val="0"/>
          <w:numId w:val="1003"/>
        </w:numPr>
        <w:pStyle w:val="Compact"/>
      </w:pPr>
      <w:r>
        <w:rPr>
          <w:bCs/>
          <w:b/>
        </w:rPr>
        <w:t xml:space="preserve">Testing:</w:t>
      </w:r>
      <w:r>
        <w:t xml:space="preserve"> </w:t>
      </w:r>
      <w:r>
        <w:t xml:space="preserve">Immerse the sensors in the synthetic blood samples and record the glucose readings at regular intervals.</w:t>
      </w:r>
    </w:p>
    <w:p>
      <w:pPr>
        <w:numPr>
          <w:ilvl w:val="0"/>
          <w:numId w:val="1003"/>
        </w:numPr>
        <w:pStyle w:val="Compact"/>
      </w:pPr>
      <w:r>
        <w:rPr>
          <w:bCs/>
          <w:b/>
        </w:rPr>
        <w:t xml:space="preserve">Data Collection:</w:t>
      </w:r>
      <w:r>
        <w:t xml:space="preserve"> </w:t>
      </w:r>
      <w:r>
        <w:t xml:space="preserve">Collect data on sensor performance, including accuracy, response time, and stability.</w:t>
      </w:r>
    </w:p>
    <w:p>
      <w:pPr>
        <w:numPr>
          <w:ilvl w:val="0"/>
          <w:numId w:val="1003"/>
        </w:numPr>
        <w:pStyle w:val="Compact"/>
      </w:pPr>
      <w:r>
        <w:rPr>
          <w:bCs/>
          <w:b/>
        </w:rPr>
        <w:t xml:space="preserve">Analysis:</w:t>
      </w:r>
      <w:r>
        <w:t xml:space="preserve"> </w:t>
      </w:r>
      <w:r>
        <w:t xml:space="preserve">Analyze the data to determine the sensors' performance metrics and compare them against established standards.</w:t>
      </w:r>
    </w:p>
    <w:bookmarkEnd w:id="25"/>
    <w:bookmarkEnd w:id="26"/>
    <w:bookmarkStart w:id="27" w:name="safety-considerations"/>
    <w:p>
      <w:pPr>
        <w:pStyle w:val="Heading2"/>
      </w:pPr>
      <w:r>
        <w:t xml:space="preserve">4. Safety Considerations</w:t>
      </w:r>
    </w:p>
    <w:p>
      <w:pPr>
        <w:pStyle w:val="FirstParagraph"/>
      </w:pPr>
      <w:r>
        <w:t xml:space="preserve">All procedures will be conducted in accordance with the safety guidelines established by the New York City Department of Health and Mental Hygiene and the Occupational Safety and Health Administration (OSHA). Personal protective equipment (PPE) will be worn at all times, and proper waste disposal protocols will be followed.</w:t>
      </w:r>
    </w:p>
    <w:bookmarkEnd w:id="27"/>
    <w:bookmarkStart w:id="28" w:name="ethical-considerations"/>
    <w:p>
      <w:pPr>
        <w:pStyle w:val="Heading2"/>
      </w:pPr>
      <w:r>
        <w:t xml:space="preserve">5. Ethical Considerations</w:t>
      </w:r>
    </w:p>
    <w:p>
      <w:pPr>
        <w:pStyle w:val="FirstParagraph"/>
      </w:pPr>
      <w:r>
        <w:t xml:space="preserve">This study involves the use of synthetic blood samples and does not involve human or animal subjects. However, the research team will adhere to ethical guidelines set by the Institutional Review Board (IRB) of the New York City Biomedical Research Institute to ensure the integrity and transparency of the study.</w:t>
      </w:r>
    </w:p>
    <w:bookmarkEnd w:id="28"/>
    <w:bookmarkStart w:id="29" w:name="data-management"/>
    <w:p>
      <w:pPr>
        <w:pStyle w:val="Heading2"/>
      </w:pPr>
      <w:r>
        <w:t xml:space="preserve">6. Data Management</w:t>
      </w:r>
    </w:p>
    <w:p>
      <w:pPr>
        <w:pStyle w:val="FirstParagraph"/>
      </w:pPr>
      <w:r>
        <w:t xml:space="preserve">All data collected during the experiment will be stored securely in compliance with the Health Insurance Portability and Accountability Act (HIPAA) and other relevant data protection regulations in the United States. Data will be analyzed using statistical software to ensure accuracy and reliability.</w:t>
      </w:r>
    </w:p>
    <w:bookmarkEnd w:id="29"/>
    <w:bookmarkStart w:id="30" w:name="timeline"/>
    <w:p>
      <w:pPr>
        <w:pStyle w:val="Heading2"/>
      </w:pPr>
      <w:r>
        <w:t xml:space="preserve">7.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Start Date</w:t>
            </w:r>
          </w:p>
        </w:tc>
        <w:tc>
          <w:tcPr/>
          <w:p>
            <w:pPr>
              <w:pStyle w:val="Compact"/>
              <w:jc w:val="left"/>
            </w:pPr>
            <w:r>
              <w:t xml:space="preserve">End Date</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October 15, 2023</w:t>
            </w:r>
          </w:p>
        </w:tc>
        <w:tc>
          <w:tcPr/>
          <w:p>
            <w:pPr>
              <w:pStyle w:val="Compact"/>
              <w:jc w:val="left"/>
            </w:pPr>
            <w:r>
              <w:t xml:space="preserve">October 29, 2023</w:t>
            </w:r>
          </w:p>
        </w:tc>
      </w:tr>
      <w:tr>
        <w:tc>
          <w:tcPr/>
          <w:p>
            <w:pPr>
              <w:pStyle w:val="Compact"/>
              <w:jc w:val="left"/>
            </w:pPr>
            <w:r>
              <w:t xml:space="preserve">Testing</w:t>
            </w:r>
          </w:p>
        </w:tc>
        <w:tc>
          <w:tcPr/>
          <w:p>
            <w:pPr>
              <w:pStyle w:val="Compact"/>
              <w:jc w:val="left"/>
            </w:pPr>
            <w:r>
              <w:t xml:space="preserve">4 weeks</w:t>
            </w:r>
          </w:p>
        </w:tc>
        <w:tc>
          <w:tcPr/>
          <w:p>
            <w:pPr>
              <w:pStyle w:val="Compact"/>
              <w:jc w:val="left"/>
            </w:pPr>
            <w:r>
              <w:t xml:space="preserve">November 1, 2023</w:t>
            </w:r>
          </w:p>
        </w:tc>
        <w:tc>
          <w:tcPr/>
          <w:p>
            <w:pPr>
              <w:pStyle w:val="Compact"/>
              <w:jc w:val="left"/>
            </w:pPr>
            <w:r>
              <w:t xml:space="preserve">November 30, 2023</w:t>
            </w:r>
          </w:p>
        </w:tc>
      </w:tr>
      <w:tr>
        <w:tc>
          <w:tcPr/>
          <w:p>
            <w:pPr>
              <w:pStyle w:val="Compact"/>
              <w:jc w:val="left"/>
            </w:pPr>
            <w:r>
              <w:t xml:space="preserve">Data Analysis</w:t>
            </w:r>
          </w:p>
        </w:tc>
        <w:tc>
          <w:tcPr/>
          <w:p>
            <w:pPr>
              <w:pStyle w:val="Compact"/>
              <w:jc w:val="left"/>
            </w:pPr>
            <w:r>
              <w:t xml:space="preserve">2 weeks</w:t>
            </w:r>
          </w:p>
        </w:tc>
        <w:tc>
          <w:tcPr/>
          <w:p>
            <w:pPr>
              <w:pStyle w:val="Compact"/>
              <w:jc w:val="left"/>
            </w:pPr>
            <w:r>
              <w:t xml:space="preserve">December 1, 2023</w:t>
            </w:r>
          </w:p>
        </w:tc>
        <w:tc>
          <w:tcPr/>
          <w:p>
            <w:pPr>
              <w:pStyle w:val="Compact"/>
              <w:jc w:val="left"/>
            </w:pPr>
            <w:r>
              <w:t xml:space="preserve">December 15, 2023</w:t>
            </w:r>
          </w:p>
        </w:tc>
      </w:tr>
      <w:tr>
        <w:tc>
          <w:tcPr/>
          <w:p>
            <w:pPr>
              <w:pStyle w:val="Compact"/>
              <w:jc w:val="left"/>
            </w:pPr>
            <w:r>
              <w:t xml:space="preserve">Reporting</w:t>
            </w:r>
          </w:p>
        </w:tc>
        <w:tc>
          <w:tcPr/>
          <w:p>
            <w:pPr>
              <w:pStyle w:val="Compact"/>
              <w:jc w:val="left"/>
            </w:pPr>
            <w:r>
              <w:t xml:space="preserve">2 weeks</w:t>
            </w:r>
          </w:p>
        </w:tc>
        <w:tc>
          <w:tcPr/>
          <w:p>
            <w:pPr>
              <w:pStyle w:val="Compact"/>
              <w:jc w:val="left"/>
            </w:pPr>
            <w:r>
              <w:t xml:space="preserve">December 16, 2023</w:t>
            </w:r>
          </w:p>
        </w:tc>
        <w:tc>
          <w:tcPr/>
          <w:p>
            <w:pPr>
              <w:pStyle w:val="Compact"/>
              <w:jc w:val="left"/>
            </w:pPr>
            <w:r>
              <w:t xml:space="preserve">December 30, 2023</w:t>
            </w:r>
          </w:p>
        </w:tc>
      </w:tr>
    </w:tbl>
    <w:bookmarkEnd w:id="30"/>
    <w:bookmarkStart w:id="31" w:name="conclusion"/>
    <w:p>
      <w:pPr>
        <w:pStyle w:val="Heading2"/>
      </w:pPr>
      <w:r>
        <w:t xml:space="preserve">8. Conclusion</w:t>
      </w:r>
    </w:p>
    <w:p>
      <w:pPr>
        <w:pStyle w:val="FirstParagraph"/>
      </w:pPr>
      <w:r>
        <w:t xml:space="preserve">This Experiment Protocol provides a comprehensive framework for the evaluation of novel biocompatible sensors for continuous glucose monitoring. The research, conducted by Biomedical Engineers in New York City, United States, aims to contribute to the advancement of medical technology and improve patient care. By adhering to strict safety, ethical, and regulatory standards, the study seeks to ensure the reliability and validity of its findings.</w:t>
      </w:r>
    </w:p>
    <w:bookmarkEnd w:id="31"/>
    <w:p>
      <w:pPr>
        <w:pStyle w:val="BodyText"/>
      </w:pPr>
      <w:r>
        <w:rPr>
          <w:bCs/>
          <w:b/>
        </w:rPr>
        <w:t xml:space="preserve">Principal Investigator Signature:</w:t>
      </w:r>
      <w:r>
        <w:t xml:space="preserve"> </w:t>
      </w:r>
      <w:r>
        <w:t xml:space="preserve">_________________________</w:t>
      </w:r>
    </w:p>
    <w:p>
      <w:pPr>
        <w:pStyle w:val="BodyText"/>
      </w:pPr>
      <w:r>
        <w:rPr>
          <w:bCs/>
          <w:b/>
        </w:rPr>
        <w:t xml:space="preserve">Date:</w:t>
      </w:r>
      <w:r>
        <w:t xml:space="preserve"> </w:t>
      </w:r>
      <w:r>
        <w:t xml:space="preserve">_________________________</w:t>
      </w:r>
    </w:p>
    <w:p>
      <w:pPr>
        <w:pStyle w:val="BodyText"/>
      </w:pPr>
      <w:r>
        <w:rPr>
          <w:bCs/>
          <w:b/>
        </w:rPr>
        <w:t xml:space="preserve">Institutional Review Board Approval:</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Research in NYC</dc:title>
  <dc:creator/>
  <dc:language>en</dc:language>
  <cp:keywords/>
  <dcterms:created xsi:type="dcterms:W3CDTF">2026-10-10T07:36:06Z</dcterms:created>
  <dcterms:modified xsi:type="dcterms:W3CDTF">2026-10-10T07:36:06Z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