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Tashkent,</w:t>
      </w:r>
      <w:r>
        <w:t xml:space="preserve"> </w:t>
      </w:r>
      <w:r>
        <w:t xml:space="preserve">Uzbekistan</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Non-Invasive Hemodynamic Monitoring Systems for Hypertensive Patients in Tashkent, Uzbekistan</w:t>
      </w:r>
    </w:p>
    <w:p>
      <w:pPr>
        <w:pStyle w:val="BodyText"/>
      </w:pPr>
      <w:r>
        <w:rPr>
          <w:bCs/>
          <w:b/>
        </w:rPr>
        <w:t xml:space="preserve">Principal Investigator:</w:t>
      </w:r>
      <w:r>
        <w:t xml:space="preserve"> </w:t>
      </w:r>
      <w:r>
        <w:t xml:space="preserve">Lead Biomedical Engineer</w:t>
      </w:r>
    </w:p>
    <w:p>
      <w:pPr>
        <w:pStyle w:val="BodyText"/>
      </w:pPr>
      <w:r>
        <w:rPr>
          <w:bCs/>
          <w:b/>
        </w:rPr>
        <w:t xml:space="preserve">Institution:</w:t>
      </w:r>
      <w:r>
        <w:t xml:space="preserve"> </w:t>
      </w:r>
      <w:r>
        <w:t xml:space="preserve">Tashkent Medical Academy / National Research Center of Biomedical Engineering</w:t>
      </w:r>
    </w:p>
    <w:p>
      <w:pPr>
        <w:pStyle w:val="BodyText"/>
      </w:pPr>
      <w:r>
        <w:rPr>
          <w:bCs/>
          <w:b/>
        </w:rPr>
        <w:t xml:space="preserve">Location:</w:t>
      </w:r>
      <w:r>
        <w:t xml:space="preserve"> </w:t>
      </w:r>
      <w:r>
        <w:t xml:space="preserve">Tashkent, Uzbekistan</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background"/>
    <w:p>
      <w:pPr>
        <w:pStyle w:val="Heading2"/>
      </w:pPr>
      <w:r>
        <w:t xml:space="preserve">1. Introduction and Background</w:t>
      </w:r>
    </w:p>
    <w:p>
      <w:pPr>
        <w:pStyle w:val="FirstParagraph"/>
      </w:pPr>
      <w:r>
        <w:t xml:space="preserve">Cardiovascular diseases remain a leading cause of morbidity and mortality in Uzbekistan. In Tashkent, the capital city, rapid urbanization and lifestyle changes have contributed to a rising prevalence of hypertension. Accurate, continuous, and non-invasive monitoring of hemodynamic parameters is critical for effective management. This experiment protocol outlines the methodology for evaluating a novel wearable biosensor system designed to monitor blood pressure and heart rate variability (HRV) in real-time. The study is conducted by a team of Biomedical Engineers in collaboration with clinical specialists at a major hospital in Tashkent.</w:t>
      </w:r>
    </w:p>
    <w:p>
      <w:pPr>
        <w:pStyle w:val="BodyText"/>
      </w:pPr>
      <w:r>
        <w:t xml:space="preserve">The role of the Biomedical Engineer in this protocol is pivotal. Engineers will be responsible for device calibration, signal processing algorithm validation, data acquisition system integrity, and ensuring compliance with international and local safety standards. The protocol is tailored to the clinical and regulatory environment of Uzbekistan, ensuring cultural appropriateness and logistical feasibility in Tashkent.</w:t>
      </w:r>
    </w:p>
    <w:bookmarkEnd w:id="21"/>
    <w:bookmarkStart w:id="22" w:name="objectives"/>
    <w:p>
      <w:pPr>
        <w:pStyle w:val="Heading2"/>
      </w:pPr>
      <w:r>
        <w:t xml:space="preserve">2. Objectives</w:t>
      </w:r>
    </w:p>
    <w:p>
      <w:pPr>
        <w:pStyle w:val="FirstParagraph"/>
      </w:pPr>
      <w:r>
        <w:t xml:space="preserve">The primary objective of this experiment is to assess the accuracy and reliability of the proposed wearable biosensor system compared to standard clinical sphygmomanometry in adult patients with diagnosed hypertension in Tashkent.</w:t>
      </w:r>
    </w:p>
    <w:p>
      <w:pPr>
        <w:pStyle w:val="BodyText"/>
      </w:pPr>
      <w:r>
        <w:t xml:space="preserve">Secondary objectives include:</w:t>
      </w:r>
    </w:p>
    <w:p>
      <w:pPr>
        <w:numPr>
          <w:ilvl w:val="0"/>
          <w:numId w:val="1001"/>
        </w:numPr>
        <w:pStyle w:val="Compact"/>
      </w:pPr>
      <w:r>
        <w:t xml:space="preserve">Evaluating the device’s performance under varying environmental conditions typical of Tashkent (e.g., temperature fluctuations).</w:t>
      </w:r>
    </w:p>
    <w:p>
      <w:pPr>
        <w:numPr>
          <w:ilvl w:val="0"/>
          <w:numId w:val="1001"/>
        </w:numPr>
        <w:pStyle w:val="Compact"/>
      </w:pPr>
      <w:r>
        <w:t xml:space="preserve">Assessing user comfort and compliance over a 7-day monitoring period.</w:t>
      </w:r>
    </w:p>
    <w:p>
      <w:pPr>
        <w:numPr>
          <w:ilvl w:val="0"/>
          <w:numId w:val="1001"/>
        </w:numPr>
        <w:pStyle w:val="Compact"/>
      </w:pPr>
      <w:r>
        <w:t xml:space="preserve">Validating the signal processing algorithms developed by the Biomedical Engineering team for artifact reduction in real-world settings.</w:t>
      </w:r>
    </w:p>
    <w:bookmarkEnd w:id="22"/>
    <w:bookmarkStart w:id="23" w:name="study-design"/>
    <w:p>
      <w:pPr>
        <w:pStyle w:val="Heading2"/>
      </w:pPr>
      <w:r>
        <w:t xml:space="preserve">3. Study Design</w:t>
      </w:r>
    </w:p>
    <w:p>
      <w:pPr>
        <w:pStyle w:val="FirstParagraph"/>
      </w:pPr>
      <w:r>
        <w:t xml:space="preserve">This is a prospective, single-center, observational study conducted in Tashkent, Uzbekistan. The study will involve 100 adult participants aged 40–70 years with a confirmed diagnosis of hypertension. Participants will be recruited from outpatient clinics affiliated with the Tashkent Medical Academy.</w:t>
      </w:r>
    </w:p>
    <w:p>
      <w:pPr>
        <w:pStyle w:val="BodyText"/>
      </w:pPr>
      <w:r>
        <w:t xml:space="preserve">Each participant will wear the biosensor device on the upper arm for 7 consecutive days. Simultaneously, blood pressure measurements will be taken using a validated clinical device at three time points daily (morning, afternoon, evening) by trained medical staff. Data from both systems will be synchronized and compared.</w:t>
      </w:r>
    </w:p>
    <w:bookmarkEnd w:id="23"/>
    <w:bookmarkStart w:id="26" w:name="participant-selection-criteria"/>
    <w:p>
      <w:pPr>
        <w:pStyle w:val="Heading2"/>
      </w:pPr>
      <w:r>
        <w:t xml:space="preserve">4. Participant Selection Criteria</w:t>
      </w:r>
    </w:p>
    <w:bookmarkStart w:id="24" w:name="inclusion-criteria"/>
    <w:p>
      <w:pPr>
        <w:pStyle w:val="Heading3"/>
      </w:pPr>
      <w:r>
        <w:t xml:space="preserve">Inclusion Criteria:</w:t>
      </w:r>
    </w:p>
    <w:p>
      <w:pPr>
        <w:numPr>
          <w:ilvl w:val="0"/>
          <w:numId w:val="1002"/>
        </w:numPr>
        <w:pStyle w:val="Compact"/>
      </w:pPr>
      <w:r>
        <w:t xml:space="preserve">Age between 40 and 70 years.</w:t>
      </w:r>
    </w:p>
    <w:p>
      <w:pPr>
        <w:numPr>
          <w:ilvl w:val="0"/>
          <w:numId w:val="1002"/>
        </w:numPr>
        <w:pStyle w:val="Compact"/>
      </w:pPr>
      <w:r>
        <w:t xml:space="preserve">Diagnosed with essential hypertension (Stage 1 or 2) according to international guidelines.</w:t>
      </w:r>
    </w:p>
    <w:p>
      <w:pPr>
        <w:numPr>
          <w:ilvl w:val="0"/>
          <w:numId w:val="1002"/>
        </w:numPr>
        <w:pStyle w:val="Compact"/>
      </w:pPr>
      <w:r>
        <w:t xml:space="preserve">Resident of Tashkent for at least 6 months.</w:t>
      </w:r>
    </w:p>
    <w:p>
      <w:pPr>
        <w:numPr>
          <w:ilvl w:val="0"/>
          <w:numId w:val="1002"/>
        </w:numPr>
        <w:pStyle w:val="Compact"/>
      </w:pPr>
      <w:r>
        <w:t xml:space="preserve">Ability to provide informed consent in Uzbek or Russian.</w:t>
      </w:r>
    </w:p>
    <w:bookmarkEnd w:id="24"/>
    <w:bookmarkStart w:id="25" w:name="exclusion-criteria"/>
    <w:p>
      <w:pPr>
        <w:pStyle w:val="Heading3"/>
      </w:pPr>
      <w:r>
        <w:t xml:space="preserve">Exclusion Criteria:</w:t>
      </w:r>
    </w:p>
    <w:p>
      <w:pPr>
        <w:numPr>
          <w:ilvl w:val="0"/>
          <w:numId w:val="1003"/>
        </w:numPr>
        <w:pStyle w:val="Compact"/>
      </w:pPr>
      <w:r>
        <w:t xml:space="preserve">History of arrhythmias or pacemaker implantation.</w:t>
      </w:r>
    </w:p>
    <w:p>
      <w:pPr>
        <w:numPr>
          <w:ilvl w:val="0"/>
          <w:numId w:val="1003"/>
        </w:numPr>
        <w:pStyle w:val="Compact"/>
      </w:pPr>
      <w:r>
        <w:t xml:space="preserve">Severe skin conditions at the sensor site.</w:t>
      </w:r>
    </w:p>
    <w:p>
      <w:pPr>
        <w:numPr>
          <w:ilvl w:val="0"/>
          <w:numId w:val="1003"/>
        </w:numPr>
        <w:pStyle w:val="Compact"/>
      </w:pPr>
      <w:r>
        <w:t xml:space="preserve">Pregnancy or breastfeeding.</w:t>
      </w:r>
    </w:p>
    <w:p>
      <w:pPr>
        <w:numPr>
          <w:ilvl w:val="0"/>
          <w:numId w:val="1003"/>
        </w:numPr>
        <w:pStyle w:val="Compact"/>
      </w:pPr>
      <w:r>
        <w:t xml:space="preserve">Participation in another clinical trial within the last 30 days.</w:t>
      </w:r>
    </w:p>
    <w:bookmarkEnd w:id="25"/>
    <w:bookmarkEnd w:id="26"/>
    <w:bookmarkStart w:id="27" w:name="role-of-the-biomedical-engineer"/>
    <w:p>
      <w:pPr>
        <w:pStyle w:val="Heading2"/>
      </w:pPr>
      <w:r>
        <w:t xml:space="preserve">5. Role of the Biomedical Engineer</w:t>
      </w:r>
    </w:p>
    <w:p>
      <w:pPr>
        <w:pStyle w:val="FirstParagraph"/>
      </w:pPr>
      <w:r>
        <w:t xml:space="preserve">The Biomedical Engineer is responsible for the technical execution and oversight of the experiment. Key responsibilities include:</w:t>
      </w:r>
    </w:p>
    <w:p>
      <w:pPr>
        <w:numPr>
          <w:ilvl w:val="0"/>
          <w:numId w:val="1004"/>
        </w:numPr>
        <w:pStyle w:val="Compact"/>
      </w:pPr>
      <w:r>
        <w:rPr>
          <w:bCs/>
          <w:b/>
        </w:rPr>
        <w:t xml:space="preserve">Device Preparation:</w:t>
      </w:r>
      <w:r>
        <w:t xml:space="preserve"> </w:t>
      </w:r>
      <w:r>
        <w:t xml:space="preserve">Ensuring all biosensor units are calibrated, sterilized, and functioning correctly before deployment.</w:t>
      </w:r>
    </w:p>
    <w:p>
      <w:pPr>
        <w:numPr>
          <w:ilvl w:val="0"/>
          <w:numId w:val="1004"/>
        </w:numPr>
        <w:pStyle w:val="Compact"/>
      </w:pPr>
      <w:r>
        <w:rPr>
          <w:bCs/>
          <w:b/>
        </w:rPr>
        <w:t xml:space="preserve">Data Acquisition:</w:t>
      </w:r>
      <w:r>
        <w:t xml:space="preserve"> </w:t>
      </w:r>
      <w:r>
        <w:t xml:space="preserve">Setting up and maintaining the data logging systems, ensuring secure transmission and storage of physiological data.</w:t>
      </w:r>
    </w:p>
    <w:p>
      <w:pPr>
        <w:numPr>
          <w:ilvl w:val="0"/>
          <w:numId w:val="1004"/>
        </w:numPr>
        <w:pStyle w:val="Compact"/>
      </w:pPr>
      <w:r>
        <w:rPr>
          <w:bCs/>
          <w:b/>
        </w:rPr>
        <w:t xml:space="preserve">Signal Processing:</w:t>
      </w:r>
      <w:r>
        <w:t xml:space="preserve"> </w:t>
      </w:r>
      <w:r>
        <w:t xml:space="preserve">Applying and validating algorithms for noise reduction, motion artifact correction, and feature extraction from raw biosignals.</w:t>
      </w:r>
    </w:p>
    <w:p>
      <w:pPr>
        <w:numPr>
          <w:ilvl w:val="0"/>
          <w:numId w:val="1004"/>
        </w:numPr>
        <w:pStyle w:val="Compact"/>
      </w:pPr>
      <w:r>
        <w:rPr>
          <w:bCs/>
          <w:b/>
        </w:rPr>
        <w:t xml:space="preserve">Quality Control:</w:t>
      </w:r>
      <w:r>
        <w:t xml:space="preserve"> </w:t>
      </w:r>
      <w:r>
        <w:t xml:space="preserve">Performing regular checks on device performance and data integrity throughout the study period.</w:t>
      </w:r>
    </w:p>
    <w:p>
      <w:pPr>
        <w:numPr>
          <w:ilvl w:val="0"/>
          <w:numId w:val="1004"/>
        </w:numPr>
        <w:pStyle w:val="Compact"/>
      </w:pPr>
      <w:r>
        <w:rPr>
          <w:bCs/>
          <w:b/>
        </w:rPr>
        <w:t xml:space="preserve">Regulatory Compliance:</w:t>
      </w:r>
      <w:r>
        <w:t xml:space="preserve"> </w:t>
      </w:r>
      <w:r>
        <w:t xml:space="preserve">Ensuring the experiment adheres to the regulations set by the Ministry of Health of Uzbekistan and international ethical standards.</w:t>
      </w:r>
    </w:p>
    <w:bookmarkEnd w:id="27"/>
    <w:bookmarkStart w:id="28" w:name="data-collection-and-analysis"/>
    <w:p>
      <w:pPr>
        <w:pStyle w:val="Heading2"/>
      </w:pPr>
      <w:r>
        <w:t xml:space="preserve">6. Data Collection and Analysis</w:t>
      </w:r>
    </w:p>
    <w:p>
      <w:pPr>
        <w:pStyle w:val="FirstParagraph"/>
      </w:pPr>
      <w:r>
        <w:t xml:space="preserve">Data will be collected continuously by the wearable device and intermittently by clinical staff. All data will be stored on a secure server located in Tashkent, with access restricted to authorized personnel. Statistical analysis will be performed using standard software tools. The primary endpoint is the mean absolute difference in systolic and diastolic blood pressure readings between the wearable device and the clinical reference standard.</w:t>
      </w:r>
    </w:p>
    <w:p>
      <w:pPr>
        <w:pStyle w:val="BodyText"/>
      </w:pPr>
      <w:r>
        <w:t xml:space="preserve">The Biomedical Engineer will collaborate with statisticians to ensure appropriate methods are used for data analysis, including Bland-Altman plots for agreement analysis and regression models for trend evaluation.</w:t>
      </w:r>
    </w:p>
    <w:bookmarkEnd w:id="28"/>
    <w:bookmarkStart w:id="29" w:name="ethical-considerations"/>
    <w:p>
      <w:pPr>
        <w:pStyle w:val="Heading2"/>
      </w:pPr>
      <w:r>
        <w:t xml:space="preserve">7. Ethical Considerations</w:t>
      </w:r>
    </w:p>
    <w:p>
      <w:pPr>
        <w:pStyle w:val="FirstParagraph"/>
      </w:pPr>
      <w:r>
        <w:t xml:space="preserve">This protocol has been reviewed and approved by the Ethics Committee of the Tashkent Medical Academy. Informed consent will be obtained from all participants in their preferred language (Uzbek or Russian). Participants will be informed of their right to withdraw from the study at any time without penalty. Confidentiality of personal and medical data will be strictly maintained in accordance with Uzbekistan’s healthcare data protection laws.</w:t>
      </w:r>
    </w:p>
    <w:bookmarkEnd w:id="29"/>
    <w:bookmarkStart w:id="30" w:name="risk-management"/>
    <w:p>
      <w:pPr>
        <w:pStyle w:val="Heading2"/>
      </w:pPr>
      <w:r>
        <w:t xml:space="preserve">8. Risk Management</w:t>
      </w:r>
    </w:p>
    <w:p>
      <w:pPr>
        <w:pStyle w:val="FirstParagraph"/>
      </w:pPr>
      <w:r>
        <w:t xml:space="preserve">Potential risks include skin irritation from the sensor, discomfort from prolonged wear, and data privacy concerns. Mitigation strategies include using hypoallergenic materials, providing participants with contact information for immediate support, and implementing robust cybersecurity measures. The Biomedical Engineer will monitor device safety throughout the study and report any adverse events promptly.</w:t>
      </w:r>
    </w:p>
    <w:bookmarkEnd w:id="30"/>
    <w:bookmarkStart w:id="31" w:name="timeline"/>
    <w:p>
      <w:pPr>
        <w:pStyle w:val="Heading2"/>
      </w:pPr>
      <w:r>
        <w:t xml:space="preserve">9. Timeline</w:t>
      </w:r>
    </w:p>
    <w:p>
      <w:pPr>
        <w:numPr>
          <w:ilvl w:val="0"/>
          <w:numId w:val="1005"/>
        </w:numPr>
        <w:pStyle w:val="Compact"/>
      </w:pPr>
      <w:r>
        <w:t xml:space="preserve">Month 1–2: Protocol finalization, ethical approval, device calibration.</w:t>
      </w:r>
    </w:p>
    <w:p>
      <w:pPr>
        <w:numPr>
          <w:ilvl w:val="0"/>
          <w:numId w:val="1005"/>
        </w:numPr>
        <w:pStyle w:val="Compact"/>
      </w:pPr>
      <w:r>
        <w:t xml:space="preserve">Month 3–4: Participant recruitment and enrollment.</w:t>
      </w:r>
    </w:p>
    <w:p>
      <w:pPr>
        <w:numPr>
          <w:ilvl w:val="0"/>
          <w:numId w:val="1005"/>
        </w:numPr>
        <w:pStyle w:val="Compact"/>
      </w:pPr>
      <w:r>
        <w:t xml:space="preserve">Month 5–7: Data collection period.</w:t>
      </w:r>
    </w:p>
    <w:p>
      <w:pPr>
        <w:numPr>
          <w:ilvl w:val="0"/>
          <w:numId w:val="1005"/>
        </w:numPr>
        <w:pStyle w:val="Compact"/>
      </w:pPr>
      <w:r>
        <w:t xml:space="preserve">Month 8–9: Data analysis and report preparation.</w:t>
      </w:r>
    </w:p>
    <w:p>
      <w:pPr>
        <w:numPr>
          <w:ilvl w:val="0"/>
          <w:numId w:val="1005"/>
        </w:numPr>
        <w:pStyle w:val="Compact"/>
      </w:pPr>
      <w:r>
        <w:t xml:space="preserve">Month 10: Dissemination of results and publication.</w:t>
      </w:r>
    </w:p>
    <w:bookmarkEnd w:id="31"/>
    <w:bookmarkStart w:id="32" w:name="conclusion"/>
    <w:p>
      <w:pPr>
        <w:pStyle w:val="Heading2"/>
      </w:pPr>
      <w:r>
        <w:t xml:space="preserve">10. Conclusion</w:t>
      </w:r>
    </w:p>
    <w:p>
      <w:pPr>
        <w:pStyle w:val="FirstParagraph"/>
      </w:pPr>
      <w:r>
        <w:t xml:space="preserve">This experiment protocol provides a structured framework for evaluating a novel biomedical device in a real-world clinical setting in Tashkent, Uzbekistan. The active involvement of Biomedical Engineers ensures technical rigor, data quality, and regulatory compliance. Successful completion of this study will contribute to improved cardiovascular care in Uzbekistan and demonstrate the value of engineering innovation in healthcare.</w:t>
      </w:r>
    </w:p>
    <w:bookmarkEnd w:id="32"/>
    <w:p>
      <w:pPr>
        <w:pStyle w:val="BodyText"/>
      </w:pPr>
      <w:r>
        <w:rPr>
          <w:bCs/>
          <w:b/>
        </w:rPr>
        <w:t xml:space="preserve">Principal Investigator (Biomedical Engineer):</w:t>
      </w:r>
    </w:p>
    <w:p>
      <w:pPr>
        <w:pStyle w:val="BodyText"/>
      </w:pPr>
      <w:r>
        <w:t xml:space="preserve">Name: ________________________</w:t>
      </w:r>
    </w:p>
    <w:p>
      <w:pPr>
        <w:pStyle w:val="BodyText"/>
      </w:pPr>
      <w:r>
        <w:t xml:space="preserve">Date: ________________________</w:t>
      </w:r>
    </w:p>
    <w:p>
      <w:pPr>
        <w:pStyle w:val="BodyText"/>
      </w:pPr>
      <w:r>
        <w:rPr>
          <w:bCs/>
          <w:b/>
        </w:rPr>
        <w:t xml:space="preserve">Ethics Committee Representative:</w:t>
      </w:r>
    </w:p>
    <w:p>
      <w:pPr>
        <w:pStyle w:val="BodyText"/>
      </w:pPr>
      <w:r>
        <w:t xml:space="preserve">Name: ________________________</w:t>
      </w:r>
    </w:p>
    <w:p>
      <w:pPr>
        <w:pStyle w:val="BodyText"/>
      </w:pPr>
      <w:r>
        <w:t xml:space="preserve">Date: 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Tashkent, Uzbekistan</dc:title>
  <dc:creator/>
  <dc:language>en</dc:language>
  <cp:keywords/>
  <dcterms:created xsi:type="dcterms:W3CDTF">2026-10-10T01:16:55Z</dcterms:created>
  <dcterms:modified xsi:type="dcterms:W3CDTF">2026-10-10T01:16:55Z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