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Australia</w:t>
      </w:r>
      <w:r>
        <w:t xml:space="preserve"> </w:t>
      </w:r>
      <w:r>
        <w:t xml:space="preserve">Brisbane</w:t>
      </w:r>
    </w:p>
    <w:bookmarkStart w:id="32" w:name="X4746e7d44d3f7d0c393a9350673e50e1d53d00a"/>
    <w:p>
      <w:pPr>
        <w:pStyle w:val="Heading1"/>
      </w:pPr>
      <w:r>
        <w:t xml:space="preserve">Experiment Protocol: Evaluating the Impact of Business Consultant Interventions on SME Growth in Australia Brisbane</w:t>
      </w:r>
    </w:p>
    <w:bookmarkStart w:id="20" w:name="introduction"/>
    <w:p>
      <w:pPr>
        <w:pStyle w:val="Heading2"/>
      </w:pPr>
      <w:r>
        <w:t xml:space="preserve">1. Introduction</w:t>
      </w:r>
    </w:p>
    <w:p>
      <w:pPr>
        <w:pStyle w:val="FirstParagraph"/>
      </w:pPr>
      <w:r>
        <w:t xml:space="preserve">This Experiment Protocol outlines the methodology for assessing the effectiveness of Business Consultant interventions on small and medium-sized enterprises (SMEs) located in Australia Brisbane. The study aims to determine whether structured consulting engagements lead to measurable improvements in operational efficiency, revenue growth, and strategic alignment within the local business environment.</w:t>
      </w:r>
    </w:p>
    <w:p>
      <w:pPr>
        <w:pStyle w:val="BodyText"/>
      </w:pPr>
      <w:r>
        <w:t xml:space="preserve">Brisbane, as a rapidly growing economic hub in Queensland, presents a unique context for this research. Its diverse industries, including technology, construction, healthcare, and professional services, offer a rich landscape for evaluating consulting practices. This protocol ensures that the experiment is conducted systematically, ethically, and in compliance with Australian research standards.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Business Consultant engagements on key performance indicators (KPIs) of SMEs in Australia Brisbane.</w:t>
      </w:r>
    </w:p>
    <w:p>
      <w:pPr>
        <w:numPr>
          <w:ilvl w:val="0"/>
          <w:numId w:val="1001"/>
        </w:numPr>
        <w:pStyle w:val="Compact"/>
      </w:pPr>
      <w:r>
        <w:t xml:space="preserve">To identify which consulting methodologies yield the most significant results in the local market.</w:t>
      </w:r>
    </w:p>
    <w:p>
      <w:pPr>
        <w:numPr>
          <w:ilvl w:val="0"/>
          <w:numId w:val="1001"/>
        </w:numPr>
        <w:pStyle w:val="Compact"/>
      </w:pPr>
      <w:r>
        <w:t xml:space="preserve">To assess the long-term sustainability of improvements achieved through consulting interventions.</w:t>
      </w:r>
    </w:p>
    <w:p>
      <w:pPr>
        <w:numPr>
          <w:ilvl w:val="0"/>
          <w:numId w:val="1001"/>
        </w:numPr>
        <w:pStyle w:val="Compact"/>
      </w:pPr>
      <w:r>
        <w:t xml:space="preserve">To provide evidence-based recommendations for businesses considering consulting services in Brisbane.</w:t>
      </w:r>
    </w:p>
    <w:bookmarkEnd w:id="21"/>
    <w:bookmarkStart w:id="22" w:name="hypothesis"/>
    <w:p>
      <w:pPr>
        <w:pStyle w:val="Heading2"/>
      </w:pPr>
      <w:r>
        <w:t xml:space="preserve">3. Hypothesis</w:t>
      </w:r>
    </w:p>
    <w:p>
      <w:pPr>
        <w:pStyle w:val="FirstParagraph"/>
      </w:pPr>
      <w:r>
        <w:t xml:space="preserve">The central hypothesis of this experiment is that SMEs in Australia Brisbane that engage with qualified Business Consultants will demonstrate statistically significant improvements in operational efficiency, revenue growth, and strategic clarity compared to similar businesses that do not engage consulting services over a 12-month period.</w:t>
      </w:r>
    </w:p>
    <w:bookmarkEnd w:id="22"/>
    <w:bookmarkStart w:id="27"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employ a quasi-experimental design with a control group and an intervention group. The intervention group will consist of SMEs that engage with Business Consultants, while the control group will comprise similar businesses that do not receive consulting services during the study period.</w:t>
      </w:r>
    </w:p>
    <w:bookmarkEnd w:id="23"/>
    <w:bookmarkStart w:id="24" w:name="participant-selection"/>
    <w:p>
      <w:pPr>
        <w:pStyle w:val="Heading3"/>
      </w:pPr>
      <w:r>
        <w:t xml:space="preserve">4.2 Participant Selection</w:t>
      </w:r>
    </w:p>
    <w:p>
      <w:pPr>
        <w:pStyle w:val="FirstParagraph"/>
      </w:pPr>
      <w:r>
        <w:t xml:space="preserve">Participants will be selected from SMEs operating in Australia Brisbane, with the following criteria:</w:t>
      </w:r>
    </w:p>
    <w:p>
      <w:pPr>
        <w:numPr>
          <w:ilvl w:val="0"/>
          <w:numId w:val="1002"/>
        </w:numPr>
        <w:pStyle w:val="Compact"/>
      </w:pPr>
      <w:r>
        <w:t xml:space="preserve">Employing between 10 and 200 staff members.</w:t>
      </w:r>
    </w:p>
    <w:p>
      <w:pPr>
        <w:numPr>
          <w:ilvl w:val="0"/>
          <w:numId w:val="1002"/>
        </w:numPr>
        <w:pStyle w:val="Compact"/>
      </w:pPr>
      <w:r>
        <w:t xml:space="preserve">Operating for at least three years.</w:t>
      </w:r>
    </w:p>
    <w:p>
      <w:pPr>
        <w:numPr>
          <w:ilvl w:val="0"/>
          <w:numId w:val="1002"/>
        </w:numPr>
        <w:pStyle w:val="Compact"/>
      </w:pPr>
      <w:r>
        <w:t xml:space="preserve">Representing a range of industries, including technology, professional services, retail, and manufacturing.</w:t>
      </w:r>
    </w:p>
    <w:p>
      <w:pPr>
        <w:numPr>
          <w:ilvl w:val="0"/>
          <w:numId w:val="1002"/>
        </w:numPr>
        <w:pStyle w:val="Compact"/>
      </w:pPr>
      <w:r>
        <w:t xml:space="preserve">Willing to provide access to relevant business data for the duration of the study.</w:t>
      </w:r>
    </w:p>
    <w:p>
      <w:pPr>
        <w:pStyle w:val="FirstParagraph"/>
      </w:pPr>
      <w:r>
        <w:t xml:space="preserve">A total of 60 businesses will be recruited, with 30 in the intervention group and 30 in the control group. Randomization will be used to assign businesses to groups where possible, though ethical and practical considerations may necessitate a matched-pair approach.</w:t>
      </w:r>
    </w:p>
    <w:bookmarkEnd w:id="24"/>
    <w:bookmarkStart w:id="25" w:name="intervention"/>
    <w:p>
      <w:pPr>
        <w:pStyle w:val="Heading3"/>
      </w:pPr>
      <w:r>
        <w:t xml:space="preserve">4.3 Intervention</w:t>
      </w:r>
    </w:p>
    <w:p>
      <w:pPr>
        <w:pStyle w:val="FirstParagraph"/>
      </w:pPr>
      <w:r>
        <w:t xml:space="preserve">Businesses in the intervention group will engage with certified Business Consultants for a minimum of six months. The consultants will be required to:</w:t>
      </w:r>
    </w:p>
    <w:p>
      <w:pPr>
        <w:numPr>
          <w:ilvl w:val="0"/>
          <w:numId w:val="1003"/>
        </w:numPr>
        <w:pStyle w:val="Compact"/>
      </w:pPr>
      <w:r>
        <w:t xml:space="preserve">Conduct a comprehensive business assessment.</w:t>
      </w:r>
    </w:p>
    <w:p>
      <w:pPr>
        <w:numPr>
          <w:ilvl w:val="0"/>
          <w:numId w:val="1003"/>
        </w:numPr>
        <w:pStyle w:val="Compact"/>
      </w:pPr>
      <w:r>
        <w:t xml:space="preserve">Develop a tailored strategic plan.</w:t>
      </w:r>
    </w:p>
    <w:p>
      <w:pPr>
        <w:numPr>
          <w:ilvl w:val="0"/>
          <w:numId w:val="1003"/>
        </w:numPr>
        <w:pStyle w:val="Compact"/>
      </w:pPr>
      <w:r>
        <w:t xml:space="preserve">Implement recommended changes in operations, marketing, or financial management.</w:t>
      </w:r>
    </w:p>
    <w:p>
      <w:pPr>
        <w:numPr>
          <w:ilvl w:val="0"/>
          <w:numId w:val="1003"/>
        </w:numPr>
        <w:pStyle w:val="Compact"/>
      </w:pPr>
      <w:r>
        <w:t xml:space="preserve">Provide ongoing support and monitoring.</w:t>
      </w:r>
    </w:p>
    <w:p>
      <w:pPr>
        <w:pStyle w:val="FirstParagraph"/>
      </w:pPr>
      <w:r>
        <w:t xml:space="preserve">The control group will continue their normal operations without external consulting support.</w:t>
      </w:r>
    </w:p>
    <w:bookmarkEnd w:id="25"/>
    <w:bookmarkStart w:id="26" w:name="data-collection"/>
    <w:p>
      <w:pPr>
        <w:pStyle w:val="Heading3"/>
      </w:pPr>
      <w:r>
        <w:t xml:space="preserve">4.4 Data Collection</w:t>
      </w:r>
    </w:p>
    <w:p>
      <w:pPr>
        <w:pStyle w:val="FirstParagraph"/>
      </w:pPr>
      <w:r>
        <w:t xml:space="preserve">Data will be collected at three intervals: baseline (before the intervention), mid-point (after six months), and end-point (after 12 months). The following metrics will be tracked:</w:t>
      </w:r>
    </w:p>
    <w:p>
      <w:pPr>
        <w:numPr>
          <w:ilvl w:val="0"/>
          <w:numId w:val="1004"/>
        </w:numPr>
        <w:pStyle w:val="Compact"/>
      </w:pPr>
      <w:r>
        <w:t xml:space="preserve">Revenue growth.</w:t>
      </w:r>
    </w:p>
    <w:p>
      <w:pPr>
        <w:numPr>
          <w:ilvl w:val="0"/>
          <w:numId w:val="1004"/>
        </w:numPr>
        <w:pStyle w:val="Compact"/>
      </w:pPr>
      <w:r>
        <w:t xml:space="preserve">Operational efficiency (e.g., cost reduction, process improvements).</w:t>
      </w:r>
    </w:p>
    <w:p>
      <w:pPr>
        <w:numPr>
          <w:ilvl w:val="0"/>
          <w:numId w:val="1004"/>
        </w:numPr>
        <w:pStyle w:val="Compact"/>
      </w:pPr>
      <w:r>
        <w:t xml:space="preserve">Employee satisfaction and retention rates.</w:t>
      </w:r>
    </w:p>
    <w:p>
      <w:pPr>
        <w:numPr>
          <w:ilvl w:val="0"/>
          <w:numId w:val="1004"/>
        </w:numPr>
        <w:pStyle w:val="Compact"/>
      </w:pPr>
      <w:r>
        <w:t xml:space="preserve">Customer satisfaction scores.</w:t>
      </w:r>
    </w:p>
    <w:p>
      <w:pPr>
        <w:numPr>
          <w:ilvl w:val="0"/>
          <w:numId w:val="1004"/>
        </w:numPr>
        <w:pStyle w:val="Compact"/>
      </w:pPr>
      <w:r>
        <w:t xml:space="preserve">Strategic goal achievement.</w:t>
      </w:r>
    </w:p>
    <w:p>
      <w:pPr>
        <w:pStyle w:val="FirstParagraph"/>
      </w:pPr>
      <w:r>
        <w:t xml:space="preserve">Data will be gathered through surveys, financial records, and interviews with business owners and key staff members.</w:t>
      </w:r>
    </w:p>
    <w:bookmarkEnd w:id="26"/>
    <w:bookmarkEnd w:id="27"/>
    <w:bookmarkStart w:id="28" w:name="ethical-considerations"/>
    <w:p>
      <w:pPr>
        <w:pStyle w:val="Heading2"/>
      </w:pPr>
      <w:r>
        <w:t xml:space="preserve">5. Ethical Considerations</w:t>
      </w:r>
    </w:p>
    <w:p>
      <w:pPr>
        <w:pStyle w:val="FirstParagraph"/>
      </w:pPr>
      <w:r>
        <w:t xml:space="preserve">This experiment will adhere to the National Statement on Ethical Conduct in Human Research (Australia). All participants will provide informed consent, and their data will be anonymized to ensure confidentiality. The study will be reviewed and approved by an independent ethics committee before commencement.</w:t>
      </w:r>
    </w:p>
    <w:bookmarkEnd w:id="28"/>
    <w:bookmarkStart w:id="29" w:name="timeline"/>
    <w:p>
      <w:pPr>
        <w:pStyle w:val="Heading2"/>
      </w:pPr>
      <w:r>
        <w:t xml:space="preserve">6. Timeline</w:t>
      </w:r>
    </w:p>
    <w:p>
      <w:pPr>
        <w:pStyle w:val="FirstParagraph"/>
      </w:pPr>
      <w:r>
        <w:t xml:space="preserve">The experiment will span 15 months, including:</w:t>
      </w:r>
    </w:p>
    <w:p>
      <w:pPr>
        <w:numPr>
          <w:ilvl w:val="0"/>
          <w:numId w:val="1005"/>
        </w:numPr>
        <w:pStyle w:val="Compact"/>
      </w:pPr>
      <w:r>
        <w:t xml:space="preserve">Months 1–2: Recruitment and baseline data collection.</w:t>
      </w:r>
    </w:p>
    <w:p>
      <w:pPr>
        <w:numPr>
          <w:ilvl w:val="0"/>
          <w:numId w:val="1005"/>
        </w:numPr>
        <w:pStyle w:val="Compact"/>
      </w:pPr>
      <w:r>
        <w:t xml:space="preserve">Months 3–8: Consulting intervention and mid-point data collection.</w:t>
      </w:r>
    </w:p>
    <w:p>
      <w:pPr>
        <w:numPr>
          <w:ilvl w:val="0"/>
          <w:numId w:val="1005"/>
        </w:numPr>
        <w:pStyle w:val="Compact"/>
      </w:pPr>
      <w:r>
        <w:t xml:space="preserve">Months 9–14: Continued monitoring and end-point data collection.</w:t>
      </w:r>
    </w:p>
    <w:p>
      <w:pPr>
        <w:numPr>
          <w:ilvl w:val="0"/>
          <w:numId w:val="1005"/>
        </w:numPr>
        <w:pStyle w:val="Compact"/>
      </w:pPr>
      <w:r>
        <w:t xml:space="preserve">Month 15: Data analysis and reporting.</w:t>
      </w:r>
    </w:p>
    <w:bookmarkEnd w:id="29"/>
    <w:bookmarkStart w:id="30" w:name="expected-outcomes"/>
    <w:p>
      <w:pPr>
        <w:pStyle w:val="Heading2"/>
      </w:pPr>
      <w:r>
        <w:t xml:space="preserve">7. Expected Outcomes</w:t>
      </w:r>
    </w:p>
    <w:p>
      <w:pPr>
        <w:pStyle w:val="FirstParagraph"/>
      </w:pPr>
      <w:r>
        <w:t xml:space="preserve">It is anticipated that the intervention group will show measurable improvements in the tracked KPIs compared to the control group. The findings will contribute to a better understanding of how Business Consultant services can be optimized for SMEs in Australia Brisbane, ultimately supporting local economic growth and business resilience.</w:t>
      </w:r>
    </w:p>
    <w:bookmarkEnd w:id="30"/>
    <w:bookmarkStart w:id="31" w:name="conclusion"/>
    <w:p>
      <w:pPr>
        <w:pStyle w:val="Heading2"/>
      </w:pPr>
      <w:r>
        <w:t xml:space="preserve">8. Conclusion</w:t>
      </w:r>
    </w:p>
    <w:p>
      <w:pPr>
        <w:pStyle w:val="FirstParagraph"/>
      </w:pPr>
      <w:r>
        <w:t xml:space="preserve">This Experiment Protocol provides a structured approach to evaluating the value of Business Consultant engagements in the Australia Brisbane market. By following this methodology, the study aims to generate reliable, actionable insights that benefit businesses, consultants, and policymakers alike.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Australia Brisbane</dc:title>
  <dc:creator/>
  <dc:language>en</dc:language>
  <cp:keywords/>
  <dcterms:created xsi:type="dcterms:W3CDTF">2026-10-10T06:29:43Z</dcterms:created>
  <dcterms:modified xsi:type="dcterms:W3CDTF">2026-10-10T06:29:43Z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