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Australia</w:t>
      </w:r>
      <w:r>
        <w:t xml:space="preserve"> </w:t>
      </w:r>
      <w:r>
        <w:t xml:space="preserve">Melbourne</w:t>
      </w:r>
    </w:p>
    <w:bookmarkStart w:id="31" w:name="X09fe8c1f800eabe41476c4c276bc19cd73a8b19"/>
    <w:p>
      <w:pPr>
        <w:pStyle w:val="Heading1"/>
      </w:pPr>
      <w:r>
        <w:t xml:space="preserve">Experiment Protocol: Evaluating the Impact of Business Consultant Interventions on SME Performance in Australia Melbourne</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Australia Melbourne</w:t>
      </w:r>
      <w:r>
        <w:br/>
      </w:r>
      <w:r>
        <w:rPr>
          <w:bCs/>
          <w:b/>
        </w:rPr>
        <w:t xml:space="preserve">Prepared By:</w:t>
      </w:r>
      <w:r>
        <w:t xml:space="preserve"> </w:t>
      </w:r>
      <w:r>
        <w:t xml:space="preserve">Research and Development Division</w:t>
      </w:r>
    </w:p>
    <w:bookmarkStart w:id="20" w:name="introduction-and-background"/>
    <w:p>
      <w:pPr>
        <w:pStyle w:val="Heading2"/>
      </w:pPr>
      <w:r>
        <w:t xml:space="preserve">1. Introduction and Background</w:t>
      </w:r>
    </w:p>
    <w:p>
      <w:pPr>
        <w:pStyle w:val="FirstParagraph"/>
      </w:pPr>
      <w:r>
        <w:t xml:space="preserve">The dynamic economic landscape of Australia Melbourne presents unique challenges and opportunities for small and medium-sized enterprises (SMEs). As the second-largest city in Australia, Melbourne serves as a critical hub for commerce, innovation, and cultural diversity. However, SMEs in this region often face difficulties related to strategic planning, operational efficiency, and market adaptation. Business Consultants are frequently engaged to address these challenges, yet there is limited empirical evidence quantifying their specific impact within the Melbourne context.</w:t>
      </w:r>
    </w:p>
    <w:p>
      <w:pPr>
        <w:pStyle w:val="BodyText"/>
      </w:pPr>
      <w:r>
        <w:t xml:space="preserve">This Experiment Protocol outlines a structured approach to evaluate the efficacy of Business Consultant interventions on SME performance metrics in Australia Melbourne. The study aims to provide actionable insights for stakeholders, including business owners, consulting firms, and policymakers.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interventions on key performance indicators (KPIs) of SMEs in Australia Melbourne.</w:t>
      </w:r>
    </w:p>
    <w:p>
      <w:pPr>
        <w:numPr>
          <w:ilvl w:val="0"/>
          <w:numId w:val="1001"/>
        </w:numPr>
        <w:pStyle w:val="Compact"/>
      </w:pPr>
      <w:r>
        <w:t xml:space="preserve">To identify the most effective consulting methodologies and strategies tailored to the Melbourne market.</w:t>
      </w:r>
    </w:p>
    <w:p>
      <w:pPr>
        <w:numPr>
          <w:ilvl w:val="0"/>
          <w:numId w:val="1001"/>
        </w:numPr>
        <w:pStyle w:val="Compact"/>
      </w:pPr>
      <w:r>
        <w:t xml:space="preserve">To assess the cost-benefit ratio of engaging a Business Consultant for SMEs in this region.</w:t>
      </w:r>
    </w:p>
    <w:p>
      <w:pPr>
        <w:numPr>
          <w:ilvl w:val="0"/>
          <w:numId w:val="1001"/>
        </w:numPr>
        <w:pStyle w:val="Compact"/>
      </w:pPr>
      <w:r>
        <w:t xml:space="preserve">To explore the role of local factors, such as regulatory environment and cultural dynamics, in shaping consulting outcomes.</w:t>
      </w:r>
    </w:p>
    <w:bookmarkEnd w:id="21"/>
    <w:bookmarkStart w:id="25" w:name="methodology"/>
    <w:p>
      <w:pPr>
        <w:pStyle w:val="Heading2"/>
      </w:pPr>
      <w:r>
        <w:t xml:space="preserve">3. Methodology</w:t>
      </w:r>
    </w:p>
    <w:p>
      <w:pPr>
        <w:pStyle w:val="FirstParagraph"/>
      </w:pPr>
      <w:r>
        <w:t xml:space="preserve">This experiment will employ a mixed-methods approach, combining quantitative data analysis with qualitative insights. The study will be conducted over a period of 12 months, involving a sample of 100 SMEs across various industries in Australia Melbourne.</w:t>
      </w:r>
    </w:p>
    <w:bookmarkStart w:id="22" w:name="study-design"/>
    <w:p>
      <w:pPr>
        <w:pStyle w:val="Heading3"/>
      </w:pPr>
      <w:r>
        <w:t xml:space="preserve">3.1 Study Design</w:t>
      </w:r>
    </w:p>
    <w:p>
      <w:pPr>
        <w:pStyle w:val="FirstParagraph"/>
      </w:pPr>
      <w:r>
        <w:t xml:space="preserve">The experiment will utilize a randomized controlled trial (RCT) design. SMEs will be randomly assigned to one of two groups:</w:t>
      </w:r>
    </w:p>
    <w:p>
      <w:pPr>
        <w:numPr>
          <w:ilvl w:val="0"/>
          <w:numId w:val="1002"/>
        </w:numPr>
        <w:pStyle w:val="Compact"/>
      </w:pPr>
      <w:r>
        <w:rPr>
          <w:bCs/>
          <w:b/>
        </w:rPr>
        <w:t xml:space="preserve">Intervention Group:</w:t>
      </w:r>
      <w:r>
        <w:t xml:space="preserve"> </w:t>
      </w:r>
      <w:r>
        <w:t xml:space="preserve">SMEs that engage a Business Consultant for a defined period (6 months).</w:t>
      </w:r>
    </w:p>
    <w:p>
      <w:pPr>
        <w:numPr>
          <w:ilvl w:val="0"/>
          <w:numId w:val="1002"/>
        </w:numPr>
        <w:pStyle w:val="Compact"/>
      </w:pPr>
      <w:r>
        <w:rPr>
          <w:bCs/>
          <w:b/>
        </w:rPr>
        <w:t xml:space="preserve">Control Group:</w:t>
      </w:r>
      <w:r>
        <w:t xml:space="preserve"> </w:t>
      </w:r>
      <w:r>
        <w:t xml:space="preserve">SMEs that do not engage a Business Consultant during the study period.</w:t>
      </w:r>
    </w:p>
    <w:p>
      <w:pPr>
        <w:pStyle w:val="FirstParagraph"/>
      </w:pPr>
      <w:r>
        <w:t xml:space="preserve">Both groups will be monitored for changes in performance metrics before, during, and after the intervention period.</w:t>
      </w:r>
    </w:p>
    <w:bookmarkEnd w:id="22"/>
    <w:bookmarkStart w:id="23" w:name="sample-selection"/>
    <w:p>
      <w:pPr>
        <w:pStyle w:val="Heading3"/>
      </w:pPr>
      <w:r>
        <w:t xml:space="preserve">3.2 Sample Selection</w:t>
      </w:r>
    </w:p>
    <w:p>
      <w:pPr>
        <w:pStyle w:val="FirstParagraph"/>
      </w:pPr>
      <w:r>
        <w:t xml:space="preserve">Participants will be selected based on the following criteria:</w:t>
      </w:r>
    </w:p>
    <w:p>
      <w:pPr>
        <w:numPr>
          <w:ilvl w:val="0"/>
          <w:numId w:val="1003"/>
        </w:numPr>
        <w:pStyle w:val="Compact"/>
      </w:pPr>
      <w:r>
        <w:t xml:space="preserve">SMEs must be registered and operating in Australia Melbourne.</w:t>
      </w:r>
    </w:p>
    <w:p>
      <w:pPr>
        <w:numPr>
          <w:ilvl w:val="0"/>
          <w:numId w:val="1003"/>
        </w:numPr>
        <w:pStyle w:val="Compact"/>
      </w:pPr>
      <w:r>
        <w:t xml:space="preserve">Businesses must have been in operation for at least 2 years.</w:t>
      </w:r>
    </w:p>
    <w:p>
      <w:pPr>
        <w:numPr>
          <w:ilvl w:val="0"/>
          <w:numId w:val="1003"/>
        </w:numPr>
        <w:pStyle w:val="Compact"/>
      </w:pPr>
      <w:r>
        <w:t xml:space="preserve">Companies must have between 10 and 200 employees.</w:t>
      </w:r>
    </w:p>
    <w:p>
      <w:pPr>
        <w:numPr>
          <w:ilvl w:val="0"/>
          <w:numId w:val="1003"/>
        </w:numPr>
        <w:pStyle w:val="Compact"/>
      </w:pPr>
      <w:r>
        <w:t xml:space="preserve">Participants must agree to provide access to relevant financial and operational data.</w:t>
      </w:r>
    </w:p>
    <w:p>
      <w:pPr>
        <w:pStyle w:val="FirstParagraph"/>
      </w:pPr>
      <w:r>
        <w:t xml:space="preserve">A stratified sampling technique will be used to ensure representation across different industries, including retail, technology, hospitality, and professional services.</w:t>
      </w:r>
    </w:p>
    <w:bookmarkEnd w:id="23"/>
    <w:bookmarkStart w:id="24" w:name="data-collection"/>
    <w:p>
      <w:pPr>
        <w:pStyle w:val="Heading3"/>
      </w:pPr>
      <w:r>
        <w:t xml:space="preserve">3.3 Data Collection</w:t>
      </w:r>
    </w:p>
    <w:p>
      <w:pPr>
        <w:pStyle w:val="FirstParagraph"/>
      </w:pPr>
      <w:r>
        <w:t xml:space="preserve">Data will be collected through multiple sources:</w:t>
      </w:r>
    </w:p>
    <w:p>
      <w:pPr>
        <w:numPr>
          <w:ilvl w:val="0"/>
          <w:numId w:val="1004"/>
        </w:numPr>
        <w:pStyle w:val="Compact"/>
      </w:pPr>
      <w:r>
        <w:rPr>
          <w:bCs/>
          <w:b/>
        </w:rPr>
        <w:t xml:space="preserve">Quantitative Data:</w:t>
      </w:r>
      <w:r>
        <w:t xml:space="preserve"> </w:t>
      </w:r>
      <w:r>
        <w:t xml:space="preserve">Financial statements, sales records, employee turnover rates, and customer satisfaction scores.</w:t>
      </w:r>
    </w:p>
    <w:p>
      <w:pPr>
        <w:numPr>
          <w:ilvl w:val="0"/>
          <w:numId w:val="1004"/>
        </w:numPr>
        <w:pStyle w:val="Compact"/>
      </w:pPr>
      <w:r>
        <w:rPr>
          <w:bCs/>
          <w:b/>
        </w:rPr>
        <w:t xml:space="preserve">Qualitative Data:</w:t>
      </w:r>
      <w:r>
        <w:t xml:space="preserve"> </w:t>
      </w:r>
      <w:r>
        <w:t xml:space="preserve">Interviews with business owners, managers, and consultants; focus groups with employees.</w:t>
      </w:r>
    </w:p>
    <w:p>
      <w:pPr>
        <w:pStyle w:val="FirstParagraph"/>
      </w:pPr>
      <w:r>
        <w:t xml:space="preserve">Data collection will occur at three stages: baseline (pre-intervention), mid-point (during intervention), and post-intervention.</w:t>
      </w:r>
    </w:p>
    <w:bookmarkEnd w:id="24"/>
    <w:bookmarkEnd w:id="25"/>
    <w:bookmarkStart w:id="26" w:name="key-performance-indicators-kpis"/>
    <w:p>
      <w:pPr>
        <w:pStyle w:val="Heading2"/>
      </w:pPr>
      <w:r>
        <w:t xml:space="preserve">4. Key Performance Indicators (KPIs)</w:t>
      </w:r>
    </w:p>
    <w:p>
      <w:pPr>
        <w:pStyle w:val="FirstParagraph"/>
      </w:pPr>
      <w:r>
        <w:t xml:space="preserve">The following KPIs will be used to assess the impact of Business Consultant interventions: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Revenue Growth</w:t>
            </w:r>
          </w:p>
        </w:tc>
        <w:tc>
          <w:tcPr/>
          <w:p>
            <w:pPr>
              <w:pStyle w:val="Compact"/>
              <w:jc w:val="left"/>
            </w:pPr>
            <w:r>
              <w:t xml:space="preserve">Percentage increase in annual revenue.</w:t>
            </w:r>
          </w:p>
        </w:tc>
        <w:tc>
          <w:tcPr/>
          <w:p>
            <w:pPr>
              <w:pStyle w:val="Compact"/>
              <w:jc w:val="left"/>
            </w:pPr>
            <w:r>
              <w:t xml:space="preserve">Financial statements</w:t>
            </w:r>
          </w:p>
        </w:tc>
      </w:tr>
      <w:tr>
        <w:tc>
          <w:tcPr/>
          <w:p>
            <w:pPr>
              <w:pStyle w:val="Compact"/>
              <w:jc w:val="left"/>
            </w:pPr>
            <w:r>
              <w:t xml:space="preserve">Profit Margins</w:t>
            </w:r>
          </w:p>
        </w:tc>
        <w:tc>
          <w:tcPr/>
          <w:p>
            <w:pPr>
              <w:pStyle w:val="Compact"/>
              <w:jc w:val="left"/>
            </w:pPr>
            <w:r>
              <w:t xml:space="preserve">Improvement in net profit margins.</w:t>
            </w:r>
          </w:p>
        </w:tc>
        <w:tc>
          <w:tcPr/>
          <w:p>
            <w:pPr>
              <w:pStyle w:val="Compact"/>
              <w:jc w:val="left"/>
            </w:pPr>
            <w:r>
              <w:t xml:space="preserve">Financial statements</w:t>
            </w:r>
          </w:p>
        </w:tc>
      </w:tr>
      <w:tr>
        <w:tc>
          <w:tcPr/>
          <w:p>
            <w:pPr>
              <w:pStyle w:val="Compact"/>
              <w:jc w:val="left"/>
            </w:pPr>
            <w:r>
              <w:t xml:space="preserve">Operational Efficiency</w:t>
            </w:r>
          </w:p>
        </w:tc>
        <w:tc>
          <w:tcPr/>
          <w:p>
            <w:pPr>
              <w:pStyle w:val="Compact"/>
              <w:jc w:val="left"/>
            </w:pPr>
            <w:r>
              <w:t xml:space="preserve">Reduction in operational costs and process improvements.</w:t>
            </w:r>
          </w:p>
        </w:tc>
        <w:tc>
          <w:tcPr/>
          <w:p>
            <w:pPr>
              <w:pStyle w:val="Compact"/>
              <w:jc w:val="left"/>
            </w:pPr>
            <w:r>
              <w:t xml:space="preserve">Operational audits</w:t>
            </w:r>
          </w:p>
        </w:tc>
      </w:tr>
      <w:tr>
        <w:tc>
          <w:tcPr/>
          <w:p>
            <w:pPr>
              <w:pStyle w:val="Compact"/>
              <w:jc w:val="left"/>
            </w:pPr>
            <w:r>
              <w:t xml:space="preserve">Employee Satisfaction</w:t>
            </w:r>
          </w:p>
        </w:tc>
        <w:tc>
          <w:tcPr/>
          <w:p>
            <w:pPr>
              <w:pStyle w:val="Compact"/>
              <w:jc w:val="left"/>
            </w:pPr>
            <w:r>
              <w:t xml:space="preserve">Changes in employee engagement and retention rates.</w:t>
            </w:r>
          </w:p>
        </w:tc>
        <w:tc>
          <w:tcPr/>
          <w:p>
            <w:pPr>
              <w:pStyle w:val="Compact"/>
              <w:jc w:val="left"/>
            </w:pPr>
            <w:r>
              <w:t xml:space="preserve">Surveys and HR records</w:t>
            </w:r>
          </w:p>
        </w:tc>
      </w:tr>
      <w:tr>
        <w:tc>
          <w:tcPr/>
          <w:p>
            <w:pPr>
              <w:pStyle w:val="Compact"/>
              <w:jc w:val="left"/>
            </w:pPr>
            <w:r>
              <w:t xml:space="preserve">Customer Satisfaction</w:t>
            </w:r>
          </w:p>
        </w:tc>
        <w:tc>
          <w:tcPr/>
          <w:p>
            <w:pPr>
              <w:pStyle w:val="Compact"/>
              <w:jc w:val="left"/>
            </w:pPr>
            <w:r>
              <w:t xml:space="preserve">Improvements in customer feedback and loyalty.</w:t>
            </w:r>
          </w:p>
        </w:tc>
        <w:tc>
          <w:tcPr/>
          <w:p>
            <w:pPr>
              <w:pStyle w:val="Compact"/>
              <w:jc w:val="left"/>
            </w:pPr>
            <w:r>
              <w:t xml:space="preserve">Customer surveys</w:t>
            </w:r>
          </w:p>
        </w:tc>
      </w:tr>
    </w:tbl>
    <w:bookmarkEnd w:id="26"/>
    <w:bookmarkStart w:id="27" w:name="ethical-considerations"/>
    <w:p>
      <w:pPr>
        <w:pStyle w:val="Heading2"/>
      </w:pPr>
      <w:r>
        <w:t xml:space="preserve">5. Ethical Considerations</w:t>
      </w:r>
    </w:p>
    <w:p>
      <w:pPr>
        <w:pStyle w:val="FirstParagraph"/>
      </w:pPr>
      <w:r>
        <w:t xml:space="preserve">This experiment will adhere to ethical guidelines set by the National Health and Medical Research Council (NHMRC) of Australia. Key considerations include:</w:t>
      </w:r>
    </w:p>
    <w:p>
      <w:pPr>
        <w:numPr>
          <w:ilvl w:val="0"/>
          <w:numId w:val="1005"/>
        </w:numPr>
        <w:pStyle w:val="Compact"/>
      </w:pPr>
      <w:r>
        <w:rPr>
          <w:bCs/>
          <w:b/>
        </w:rPr>
        <w:t xml:space="preserve">Informed Consent:</w:t>
      </w:r>
      <w:r>
        <w:t xml:space="preserve"> </w:t>
      </w:r>
      <w:r>
        <w:t xml:space="preserve">All participants will provide written consent after being fully informed about the study's purpose, procedures, and potential risks.</w:t>
      </w:r>
    </w:p>
    <w:p>
      <w:pPr>
        <w:numPr>
          <w:ilvl w:val="0"/>
          <w:numId w:val="1005"/>
        </w:numPr>
        <w:pStyle w:val="Compact"/>
      </w:pPr>
      <w:r>
        <w:rPr>
          <w:bCs/>
          <w:b/>
        </w:rPr>
        <w:t xml:space="preserve">Confidentiality:</w:t>
      </w:r>
      <w:r>
        <w:t xml:space="preserve"> </w:t>
      </w:r>
      <w:r>
        <w:t xml:space="preserve">Data will be anonymized and stored securely to protect participant privacy.</w:t>
      </w:r>
    </w:p>
    <w:p>
      <w:pPr>
        <w:numPr>
          <w:ilvl w:val="0"/>
          <w:numId w:val="1005"/>
        </w:numPr>
        <w:pStyle w:val="Compact"/>
      </w:pPr>
      <w:r>
        <w:rPr>
          <w:bCs/>
          <w:b/>
        </w:rPr>
        <w:t xml:space="preserve">Voluntary Participation:</w:t>
      </w:r>
      <w:r>
        <w:t xml:space="preserve"> </w:t>
      </w:r>
      <w:r>
        <w:t xml:space="preserve">Participants can withdraw from the study at any time without penalty.</w:t>
      </w:r>
    </w:p>
    <w:bookmarkEnd w:id="27"/>
    <w:bookmarkStart w:id="28" w:name="timeline"/>
    <w:p>
      <w:pPr>
        <w:pStyle w:val="Heading2"/>
      </w:pPr>
      <w:r>
        <w:t xml:space="preserve">6. Timeline</w:t>
      </w:r>
    </w:p>
    <w:p>
      <w:pPr>
        <w:pStyle w:val="FirstParagraph"/>
      </w:pPr>
      <w:r>
        <w:t xml:space="preserve">The experiment will follow this timeline:</w:t>
      </w:r>
    </w:p>
    <w:p>
      <w:pPr>
        <w:numPr>
          <w:ilvl w:val="0"/>
          <w:numId w:val="1006"/>
        </w:numPr>
        <w:pStyle w:val="Compact"/>
      </w:pPr>
      <w:r>
        <w:rPr>
          <w:bCs/>
          <w:b/>
        </w:rPr>
        <w:t xml:space="preserve">Months 1-2:</w:t>
      </w:r>
      <w:r>
        <w:t xml:space="preserve"> </w:t>
      </w:r>
      <w:r>
        <w:t xml:space="preserve">Recruitment and baseline data collection.</w:t>
      </w:r>
    </w:p>
    <w:p>
      <w:pPr>
        <w:numPr>
          <w:ilvl w:val="0"/>
          <w:numId w:val="1006"/>
        </w:numPr>
        <w:pStyle w:val="Compact"/>
      </w:pPr>
      <w:r>
        <w:rPr>
          <w:bCs/>
          <w:b/>
        </w:rPr>
        <w:t xml:space="preserve">Months 3-8:</w:t>
      </w:r>
      <w:r>
        <w:t xml:space="preserve"> </w:t>
      </w:r>
      <w:r>
        <w:t xml:space="preserve">Intervention period for the treatment group.</w:t>
      </w:r>
    </w:p>
    <w:p>
      <w:pPr>
        <w:numPr>
          <w:ilvl w:val="0"/>
          <w:numId w:val="1006"/>
        </w:numPr>
        <w:pStyle w:val="Compact"/>
      </w:pPr>
      <w:r>
        <w:rPr>
          <w:bCs/>
          <w:b/>
        </w:rPr>
        <w:t xml:space="preserve">Months 9-10:</w:t>
      </w:r>
      <w:r>
        <w:t xml:space="preserve"> </w:t>
      </w:r>
      <w:r>
        <w:t xml:space="preserve">Mid-point and post-intervention data collection.</w:t>
      </w:r>
    </w:p>
    <w:p>
      <w:pPr>
        <w:numPr>
          <w:ilvl w:val="0"/>
          <w:numId w:val="1006"/>
        </w:numPr>
        <w:pStyle w:val="Compact"/>
      </w:pPr>
      <w:r>
        <w:rPr>
          <w:bCs/>
          <w:b/>
        </w:rPr>
        <w:t xml:space="preserve">Months 11-12:</w:t>
      </w:r>
      <w:r>
        <w:t xml:space="preserve"> </w:t>
      </w:r>
      <w:r>
        <w:t xml:space="preserve">Data analysis and reporting.</w:t>
      </w:r>
    </w:p>
    <w:bookmarkEnd w:id="28"/>
    <w:bookmarkStart w:id="29" w:name="expected-outcomes"/>
    <w:p>
      <w:pPr>
        <w:pStyle w:val="Heading2"/>
      </w:pPr>
      <w:r>
        <w:t xml:space="preserve">7. Expected Outcomes</w:t>
      </w:r>
    </w:p>
    <w:p>
      <w:pPr>
        <w:pStyle w:val="FirstParagraph"/>
      </w:pPr>
      <w:r>
        <w:t xml:space="preserve">This experiment aims to generate evidence-based insights into the value of Business Consultant interventions for SMEs in Australia Melbourne. Expected outcomes include:</w:t>
      </w:r>
    </w:p>
    <w:p>
      <w:pPr>
        <w:numPr>
          <w:ilvl w:val="0"/>
          <w:numId w:val="1007"/>
        </w:numPr>
        <w:pStyle w:val="Compact"/>
      </w:pPr>
      <w:r>
        <w:t xml:space="preserve">Identification of best practices for consulting engagements in the Melbourne market.</w:t>
      </w:r>
    </w:p>
    <w:p>
      <w:pPr>
        <w:numPr>
          <w:ilvl w:val="0"/>
          <w:numId w:val="1007"/>
        </w:numPr>
        <w:pStyle w:val="Compact"/>
      </w:pPr>
      <w:r>
        <w:t xml:space="preserve">Quantifiable metrics demonstrating the ROI of consulting services.</w:t>
      </w:r>
    </w:p>
    <w:p>
      <w:pPr>
        <w:numPr>
          <w:ilvl w:val="0"/>
          <w:numId w:val="1007"/>
        </w:numPr>
        <w:pStyle w:val="Compact"/>
      </w:pPr>
      <w:r>
        <w:t xml:space="preserve">Recommendations for SMEs on how to maximize the benefits of consulting partnerships.</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impact of Business Consultant interventions on SME performance in Australia Melbourne. By employing rigorous methodologies and focusing on locally relevant factors, this study seeks to contribute valuable knowledge to the fields of business consulting and SME development. The findings will not only benefit individual businesses but also inform broader strategies for economic growth in Melbourne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Australia Melbourne</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