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Brussels</w:t>
      </w:r>
    </w:p>
    <w:bookmarkStart w:id="33" w:name="X139d78f234b7c97beb1c9d4df825a730c9dd496"/>
    <w:p>
      <w:pPr>
        <w:pStyle w:val="Heading1"/>
      </w:pPr>
      <w:r>
        <w:t xml:space="preserve">Experiment Protocol: Strategic Impact of Business Consultant Interventions in Belgium Brussels</w:t>
      </w:r>
    </w:p>
    <w:p>
      <w:pPr>
        <w:pStyle w:val="FirstParagraph"/>
      </w:pPr>
      <w:r>
        <w:rPr>
          <w:bCs/>
          <w:b/>
        </w:rPr>
        <w:t xml:space="preserve">Protocol ID:</w:t>
      </w:r>
      <w:r>
        <w:t xml:space="preserve"> </w:t>
      </w:r>
      <w:r>
        <w:t xml:space="preserve">BRU-BC-EXP-2024-001</w:t>
      </w:r>
    </w:p>
    <w:p>
      <w:pPr>
        <w:pStyle w:val="BodyText"/>
      </w:pPr>
      <w:r>
        <w:rPr>
          <w:bCs/>
          <w:b/>
        </w:rPr>
        <w:t xml:space="preserve">Location:</w:t>
      </w:r>
      <w:r>
        <w:t xml:space="preserve"> </w:t>
      </w:r>
      <w:r>
        <w:t xml:space="preserve">Brussels-Capital Region, Belgium</w:t>
      </w:r>
    </w:p>
    <w:p>
      <w:pPr>
        <w:pStyle w:val="BodyText"/>
      </w:pPr>
      <w:r>
        <w:rPr>
          <w:bCs/>
          <w:b/>
        </w:rPr>
        <w:t xml:space="preserve">Subject:</w:t>
      </w:r>
      <w:r>
        <w:t xml:space="preserve"> </w:t>
      </w:r>
      <w:r>
        <w:t xml:space="preserve">Business Consultant</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Brussels-Capital Region serves as a unique economic ecosystem, functioning simultaneously as the de facto capital of the European Union and a major hub for international trade, diplomacy, and multinational corporations. Within this complex environment, the role of the</w:t>
      </w:r>
      <w:r>
        <w:t xml:space="preserve"> </w:t>
      </w:r>
      <w:r>
        <w:rPr>
          <w:bCs/>
          <w:b/>
        </w:rPr>
        <w:t xml:space="preserve">Business Consultant</w:t>
      </w:r>
      <w:r>
        <w:t xml:space="preserve"> </w:t>
      </w:r>
      <w:r>
        <w:t xml:space="preserve">is critical. These professionals are tasked with navigating regulatory frameworks, managing cross-cultural stakeholder relationships, and optimizing operational efficiency amidst a multilingual and multicultural workforce.</w:t>
      </w:r>
    </w:p>
    <w:p>
      <w:pPr>
        <w:pStyle w:val="BodyText"/>
      </w:pPr>
      <w:r>
        <w:t xml:space="preserve">This</w:t>
      </w:r>
      <w:r>
        <w:t xml:space="preserve"> </w:t>
      </w:r>
      <w:r>
        <w:rPr>
          <w:bCs/>
          <w:b/>
        </w:rPr>
        <w:t xml:space="preserve">Experiment Protocol</w:t>
      </w:r>
      <w:r>
        <w:t xml:space="preserve"> </w:t>
      </w:r>
      <w:r>
        <w:t xml:space="preserve">is designed to empirically evaluate the efficacy of specific consulting methodologies when applied by a</w:t>
      </w:r>
      <w:r>
        <w:t xml:space="preserve"> </w:t>
      </w:r>
      <w:r>
        <w:rPr>
          <w:bCs/>
          <w:b/>
        </w:rPr>
        <w:t xml:space="preserve">Business Consultant</w:t>
      </w:r>
      <w:r>
        <w:t xml:space="preserve"> </w:t>
      </w:r>
      <w:r>
        <w:t xml:space="preserve">operating within the distinct socio-economic landscape of</w:t>
      </w:r>
      <w:r>
        <w:t xml:space="preserve"> </w:t>
      </w:r>
      <w:r>
        <w:rPr>
          <w:bCs/>
          <w:b/>
        </w:rPr>
        <w:t xml:space="preserve">Belgium Brussels</w:t>
      </w:r>
      <w:r>
        <w:t xml:space="preserve">. The objective is to move beyond anecdotal evidence and establish a data-driven understanding of how external advisory services impact organizational performance in this specific geographic and political context.</w:t>
      </w:r>
    </w:p>
    <w:bookmarkEnd w:id="20"/>
    <w:bookmarkStart w:id="21" w:name="objectives"/>
    <w:p>
      <w:pPr>
        <w:pStyle w:val="Heading2"/>
      </w:pPr>
      <w:r>
        <w:t xml:space="preserve">2. Objectives</w:t>
      </w:r>
    </w:p>
    <w:p>
      <w:pPr>
        <w:pStyle w:val="FirstParagraph"/>
      </w:pPr>
      <w:r>
        <w:t xml:space="preserve">The primary objective of this experiment is to quantify the value added by a</w:t>
      </w:r>
      <w:r>
        <w:t xml:space="preserve"> </w:t>
      </w:r>
      <w:r>
        <w:rPr>
          <w:bCs/>
          <w:b/>
        </w:rPr>
        <w:t xml:space="preserve">Business Consultant</w:t>
      </w:r>
      <w:r>
        <w:t xml:space="preserve"> </w:t>
      </w:r>
      <w:r>
        <w:t xml:space="preserve">in Brussels-based enterprises. Specific goals include:</w:t>
      </w:r>
    </w:p>
    <w:p>
      <w:pPr>
        <w:numPr>
          <w:ilvl w:val="0"/>
          <w:numId w:val="1001"/>
        </w:numPr>
        <w:pStyle w:val="Compact"/>
      </w:pPr>
      <w:r>
        <w:t xml:space="preserve">To measure the impact of consultant-led strategic planning on revenue growth and cost reduction over a six-month period.</w:t>
      </w:r>
    </w:p>
    <w:p>
      <w:pPr>
        <w:numPr>
          <w:ilvl w:val="0"/>
          <w:numId w:val="1001"/>
        </w:numPr>
        <w:pStyle w:val="Compact"/>
      </w:pPr>
      <w:r>
        <w:t xml:space="preserve">To assess the effectiveness of the</w:t>
      </w:r>
      <w:r>
        <w:t xml:space="preserve"> </w:t>
      </w:r>
      <w:r>
        <w:rPr>
          <w:bCs/>
          <w:b/>
        </w:rPr>
        <w:t xml:space="preserve">Business Consultant</w:t>
      </w:r>
      <w:r>
        <w:t xml:space="preserve"> </w:t>
      </w:r>
      <w:r>
        <w:t xml:space="preserve">in navigating Belgian labor laws and EU regulatory compliance.</w:t>
      </w:r>
    </w:p>
    <w:p>
      <w:pPr>
        <w:numPr>
          <w:ilvl w:val="0"/>
          <w:numId w:val="1001"/>
        </w:numPr>
        <w:pStyle w:val="Compact"/>
      </w:pPr>
      <w:r>
        <w:t xml:space="preserve">To evaluate the cultural integration capabilities of the consultant within the diverse workforce typical of</w:t>
      </w:r>
      <w:r>
        <w:t xml:space="preserve"> </w:t>
      </w:r>
      <w:r>
        <w:rPr>
          <w:bCs/>
          <w:b/>
        </w:rPr>
        <w:t xml:space="preserve">Belgium Brussels</w:t>
      </w:r>
      <w:r>
        <w:t xml:space="preserve">.</w:t>
      </w:r>
    </w:p>
    <w:p>
      <w:pPr>
        <w:numPr>
          <w:ilvl w:val="0"/>
          <w:numId w:val="1001"/>
        </w:numPr>
        <w:pStyle w:val="Compact"/>
      </w:pPr>
      <w:r>
        <w:t xml:space="preserve">To determine the correlation between consultant intervention and employee satisfaction scores in a high-pressure diplomatic and corporate environment.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randomized controlled trial (RCT) design. We will select 20 mid-sized companies headquartered in the Brussels-Capital Region. These companies will be randomly divided into two groups:</w:t>
      </w:r>
    </w:p>
    <w:p>
      <w:pPr>
        <w:numPr>
          <w:ilvl w:val="0"/>
          <w:numId w:val="1002"/>
        </w:numPr>
        <w:pStyle w:val="Compact"/>
      </w:pPr>
      <w:r>
        <w:rPr>
          <w:bCs/>
          <w:b/>
        </w:rPr>
        <w:t xml:space="preserve">Control Group:</w:t>
      </w:r>
      <w:r>
        <w:t xml:space="preserve"> </w:t>
      </w:r>
      <w:r>
        <w:t xml:space="preserve">10 companies that will continue their standard internal management practices without external consulting intervention.</w:t>
      </w:r>
    </w:p>
    <w:p>
      <w:pPr>
        <w:numPr>
          <w:ilvl w:val="0"/>
          <w:numId w:val="1002"/>
        </w:numPr>
        <w:pStyle w:val="Compact"/>
      </w:pPr>
      <w:r>
        <w:rPr>
          <w:bCs/>
          <w:b/>
        </w:rPr>
        <w:t xml:space="preserve">Experimental Group:</w:t>
      </w:r>
      <w:r>
        <w:t xml:space="preserve"> </w:t>
      </w:r>
      <w:r>
        <w:t xml:space="preserve">10 companies that will engage a certified</w:t>
      </w:r>
      <w:r>
        <w:t xml:space="preserve"> </w:t>
      </w:r>
      <w:r>
        <w:rPr>
          <w:bCs/>
          <w:b/>
        </w:rPr>
        <w:t xml:space="preserve">Business Consultant</w:t>
      </w:r>
      <w:r>
        <w:t xml:space="preserve"> </w:t>
      </w:r>
      <w:r>
        <w:t xml:space="preserve">for a structured six-month engagement.</w:t>
      </w:r>
    </w:p>
    <w:bookmarkEnd w:id="22"/>
    <w:bookmarkStart w:id="23" w:name="participant-selection-criteria"/>
    <w:p>
      <w:pPr>
        <w:pStyle w:val="Heading3"/>
      </w:pPr>
      <w:r>
        <w:t xml:space="preserve">3.2 Participant Selection Criteria</w:t>
      </w:r>
    </w:p>
    <w:p>
      <w:pPr>
        <w:pStyle w:val="FirstParagraph"/>
      </w:pPr>
      <w:r>
        <w:t xml:space="preserve">To ensure the validity of the results within the context of</w:t>
      </w:r>
      <w:r>
        <w:t xml:space="preserve"> </w:t>
      </w:r>
      <w:r>
        <w:rPr>
          <w:bCs/>
          <w:b/>
        </w:rPr>
        <w:t xml:space="preserve">Belgium Brussels</w:t>
      </w:r>
      <w:r>
        <w:t xml:space="preserve">, participants must meet the following criteria:</w:t>
      </w:r>
    </w:p>
    <w:p>
      <w:pPr>
        <w:numPr>
          <w:ilvl w:val="0"/>
          <w:numId w:val="1003"/>
        </w:numPr>
        <w:pStyle w:val="Compact"/>
      </w:pPr>
      <w:r>
        <w:t xml:space="preserve">Registered legal entity within the Brussels-Capital Region.</w:t>
      </w:r>
    </w:p>
    <w:p>
      <w:pPr>
        <w:numPr>
          <w:ilvl w:val="0"/>
          <w:numId w:val="1003"/>
        </w:numPr>
        <w:pStyle w:val="Compact"/>
      </w:pPr>
      <w:r>
        <w:t xml:space="preserve">Minimum of 50 employees to ensure statistical significance in workforce metrics.</w:t>
      </w:r>
    </w:p>
    <w:p>
      <w:pPr>
        <w:numPr>
          <w:ilvl w:val="0"/>
          <w:numId w:val="1003"/>
        </w:numPr>
        <w:pStyle w:val="Compact"/>
      </w:pPr>
      <w:r>
        <w:t xml:space="preserve">Operating in sectors prevalent in Brussels, such as IT, public administration support, logistics, or professional services.</w:t>
      </w:r>
    </w:p>
    <w:p>
      <w:pPr>
        <w:numPr>
          <w:ilvl w:val="0"/>
          <w:numId w:val="1003"/>
        </w:numPr>
        <w:pStyle w:val="Compact"/>
      </w:pPr>
      <w:r>
        <w:t xml:space="preserve">No active engagement with a</w:t>
      </w:r>
      <w:r>
        <w:t xml:space="preserve"> </w:t>
      </w:r>
      <w:r>
        <w:rPr>
          <w:bCs/>
          <w:b/>
        </w:rPr>
        <w:t xml:space="preserve">Business Consultant</w:t>
      </w:r>
      <w:r>
        <w:t xml:space="preserve"> </w:t>
      </w:r>
      <w:r>
        <w:t xml:space="preserve">in the preceding 12 months.</w:t>
      </w:r>
    </w:p>
    <w:bookmarkEnd w:id="23"/>
    <w:bookmarkStart w:id="24" w:name="the-business-consultant-intervention"/>
    <w:p>
      <w:pPr>
        <w:pStyle w:val="Heading3"/>
      </w:pPr>
      <w:r>
        <w:t xml:space="preserve">3.3 The Business Consultant Intervention</w:t>
      </w:r>
    </w:p>
    <w:p>
      <w:pPr>
        <w:pStyle w:val="FirstParagraph"/>
      </w:pPr>
      <w:r>
        <w:t xml:space="preserve">The</w:t>
      </w:r>
      <w:r>
        <w:t xml:space="preserve"> </w:t>
      </w:r>
      <w:r>
        <w:rPr>
          <w:bCs/>
          <w:b/>
        </w:rPr>
        <w:t xml:space="preserve">Business Consultant</w:t>
      </w:r>
      <w:r>
        <w:t xml:space="preserve"> </w:t>
      </w:r>
      <w:r>
        <w:t xml:space="preserve">assigned to the experimental group must adhere to a standardized intervention framework defined by this protocol. The consultant’s activities will focus on three pillars relevant to the Brussels market:</w:t>
      </w:r>
    </w:p>
    <w:p>
      <w:pPr>
        <w:numPr>
          <w:ilvl w:val="0"/>
          <w:numId w:val="1004"/>
        </w:numPr>
        <w:pStyle w:val="Compact"/>
      </w:pPr>
      <w:r>
        <w:rPr>
          <w:bCs/>
          <w:b/>
        </w:rPr>
        <w:t xml:space="preserve">Regulatory Alignment:</w:t>
      </w:r>
      <w:r>
        <w:t xml:space="preserve"> </w:t>
      </w:r>
      <w:r>
        <w:t xml:space="preserve">Ensuring business processes align with both Belgian national laws and EU directives.</w:t>
      </w:r>
    </w:p>
    <w:p>
      <w:pPr>
        <w:numPr>
          <w:ilvl w:val="0"/>
          <w:numId w:val="1004"/>
        </w:numPr>
        <w:pStyle w:val="Compact"/>
      </w:pPr>
      <w:r>
        <w:rPr>
          <w:bCs/>
          <w:b/>
        </w:rPr>
        <w:t xml:space="preserve">Operational Efficiency:</w:t>
      </w:r>
      <w:r>
        <w:t xml:space="preserve"> </w:t>
      </w:r>
      <w:r>
        <w:t xml:space="preserve">Implementing lean management techniques tailored to the local labor market dynamics.</w:t>
      </w:r>
    </w:p>
    <w:p>
      <w:pPr>
        <w:numPr>
          <w:ilvl w:val="0"/>
          <w:numId w:val="1004"/>
        </w:numPr>
        <w:pStyle w:val="Compact"/>
      </w:pPr>
      <w:r>
        <w:rPr>
          <w:bCs/>
          <w:b/>
        </w:rPr>
        <w:t xml:space="preserve">Stakeholder Management:</w:t>
      </w:r>
      <w:r>
        <w:t xml:space="preserve"> </w:t>
      </w:r>
      <w:r>
        <w:t xml:space="preserve">Enhancing communication strategies for diverse, multilingual teams common in Brussels.</w:t>
      </w:r>
    </w:p>
    <w:bookmarkEnd w:id="24"/>
    <w:bookmarkEnd w:id="25"/>
    <w:bookmarkStart w:id="28" w:name="data-collection-procedures"/>
    <w:p>
      <w:pPr>
        <w:pStyle w:val="Heading2"/>
      </w:pPr>
      <w:r>
        <w:t xml:space="preserve">4. Data Collection Procedures</w:t>
      </w:r>
    </w:p>
    <w:p>
      <w:pPr>
        <w:pStyle w:val="FirstParagraph"/>
      </w:pPr>
      <w:r>
        <w:t xml:space="preserve">Data collection will occur at three intervals: Baseline (T0), Mid-Experiment (T1), and Post-Experiment (T2).</w:t>
      </w:r>
    </w:p>
    <w:bookmarkStart w:id="26" w:name="quantitative-metrics"/>
    <w:p>
      <w:pPr>
        <w:pStyle w:val="Heading3"/>
      </w:pPr>
      <w:r>
        <w:t xml:space="preserve">4.1 Quantitative Metrics</w:t>
      </w:r>
    </w:p>
    <w:p>
      <w:pPr>
        <w:pStyle w:val="FirstParagraph"/>
      </w:pPr>
      <w:r>
        <w:t xml:space="preserve">The following financial and operational data will be collected from all participating companies:</w:t>
      </w:r>
    </w:p>
    <w:p>
      <w:pPr>
        <w:numPr>
          <w:ilvl w:val="0"/>
          <w:numId w:val="1005"/>
        </w:numPr>
        <w:pStyle w:val="Compact"/>
      </w:pPr>
      <w:r>
        <w:t xml:space="preserve">Monthly revenue and profit margins.</w:t>
      </w:r>
    </w:p>
    <w:p>
      <w:pPr>
        <w:numPr>
          <w:ilvl w:val="0"/>
          <w:numId w:val="1005"/>
        </w:numPr>
        <w:pStyle w:val="Compact"/>
      </w:pPr>
      <w:r>
        <w:t xml:space="preserve">Operational costs, specifically regarding compliance and administrative overhead.</w:t>
      </w:r>
    </w:p>
    <w:p>
      <w:pPr>
        <w:numPr>
          <w:ilvl w:val="0"/>
          <w:numId w:val="1005"/>
        </w:numPr>
        <w:pStyle w:val="Compact"/>
      </w:pPr>
      <w:r>
        <w:t xml:space="preserve">Employee turnover rates.</w:t>
      </w:r>
    </w:p>
    <w:p>
      <w:pPr>
        <w:numPr>
          <w:ilvl w:val="0"/>
          <w:numId w:val="1005"/>
        </w:numPr>
        <w:pStyle w:val="Compact"/>
      </w:pPr>
      <w:r>
        <w:t xml:space="preserve">Project completion times.</w:t>
      </w:r>
    </w:p>
    <w:bookmarkEnd w:id="26"/>
    <w:bookmarkStart w:id="27" w:name="qualitative-metrics"/>
    <w:p>
      <w:pPr>
        <w:pStyle w:val="Heading3"/>
      </w:pPr>
      <w:r>
        <w:t xml:space="preserve">4.2 Qualitative Metrics</w:t>
      </w:r>
    </w:p>
    <w:p>
      <w:pPr>
        <w:pStyle w:val="FirstParagraph"/>
      </w:pPr>
      <w:r>
        <w:t xml:space="preserve">To capture the nuanced impact of the</w:t>
      </w:r>
      <w:r>
        <w:t xml:space="preserve"> </w:t>
      </w:r>
      <w:r>
        <w:rPr>
          <w:bCs/>
          <w:b/>
        </w:rPr>
        <w:t xml:space="preserve">Business Consultant</w:t>
      </w:r>
      <w:r>
        <w:t xml:space="preserve">, qualitative data will be gathered through:</w:t>
      </w:r>
    </w:p>
    <w:p>
      <w:pPr>
        <w:numPr>
          <w:ilvl w:val="0"/>
          <w:numId w:val="1006"/>
        </w:numPr>
        <w:pStyle w:val="Compact"/>
      </w:pPr>
      <w:r>
        <w:t xml:space="preserve">Semi-structured interviews with C-level executives regarding strategic clarity.</w:t>
      </w:r>
    </w:p>
    <w:p>
      <w:pPr>
        <w:numPr>
          <w:ilvl w:val="0"/>
          <w:numId w:val="1006"/>
        </w:numPr>
        <w:pStyle w:val="Compact"/>
      </w:pPr>
      <w:r>
        <w:t xml:space="preserve">Employee surveys assessing leadership perception and workplace culture.</w:t>
      </w:r>
    </w:p>
    <w:p>
      <w:pPr>
        <w:numPr>
          <w:ilvl w:val="0"/>
          <w:numId w:val="1006"/>
        </w:numPr>
        <w:pStyle w:val="Compact"/>
      </w:pPr>
      <w:r>
        <w:t xml:space="preserve">Case studies documenting specific challenges resolved by the consultant in the Brussels context.</w:t>
      </w:r>
    </w:p>
    <w:bookmarkEnd w:id="27"/>
    <w:bookmarkEnd w:id="28"/>
    <w:bookmarkStart w:id="29" w:name="ethical-considerations-and-compliance"/>
    <w:p>
      <w:pPr>
        <w:pStyle w:val="Heading2"/>
      </w:pPr>
      <w:r>
        <w:t xml:space="preserve">5. Ethical Considerations and Compliance</w:t>
      </w:r>
    </w:p>
    <w:p>
      <w:pPr>
        <w:pStyle w:val="FirstParagraph"/>
      </w:pPr>
      <w:r>
        <w:t xml:space="preserve">Given the location in</w:t>
      </w:r>
      <w:r>
        <w:t xml:space="preserve"> </w:t>
      </w:r>
      <w:r>
        <w:rPr>
          <w:bCs/>
          <w:b/>
        </w:rPr>
        <w:t xml:space="preserve">Belgium Brussels</w:t>
      </w:r>
      <w:r>
        <w:t xml:space="preserve">, this</w:t>
      </w:r>
      <w:r>
        <w:t xml:space="preserve"> </w:t>
      </w:r>
      <w:r>
        <w:rPr>
          <w:bCs/>
          <w:b/>
        </w:rPr>
        <w:t xml:space="preserve">Experiment Protocol</w:t>
      </w:r>
      <w:r>
        <w:t xml:space="preserve"> </w:t>
      </w:r>
      <w:r>
        <w:t xml:space="preserve">strictly adheres to the General Data Protection Regulation (GDPR) and Belgian privacy laws.</w:t>
      </w:r>
    </w:p>
    <w:p>
      <w:pPr>
        <w:numPr>
          <w:ilvl w:val="0"/>
          <w:numId w:val="1007"/>
        </w:numPr>
        <w:pStyle w:val="Compact"/>
      </w:pPr>
      <w:r>
        <w:t xml:space="preserve">All participant data will be anonymized.</w:t>
      </w:r>
    </w:p>
    <w:p>
      <w:pPr>
        <w:numPr>
          <w:ilvl w:val="0"/>
          <w:numId w:val="1007"/>
        </w:numPr>
        <w:pStyle w:val="Compact"/>
      </w:pPr>
      <w:r>
        <w:t xml:space="preserve">Informed consent will be obtained from all company stakeholders.</w:t>
      </w:r>
    </w:p>
    <w:p>
      <w:pPr>
        <w:numPr>
          <w:ilvl w:val="0"/>
          <w:numId w:val="1007"/>
        </w:numPr>
        <w:pStyle w:val="Compact"/>
      </w:pPr>
      <w:r>
        <w:t xml:space="preserve">The</w:t>
      </w:r>
      <w:r>
        <w:t xml:space="preserve"> </w:t>
      </w:r>
      <w:r>
        <w:rPr>
          <w:bCs/>
          <w:b/>
        </w:rPr>
        <w:t xml:space="preserve">Business Consultant</w:t>
      </w:r>
      <w:r>
        <w:t xml:space="preserve"> </w:t>
      </w:r>
      <w:r>
        <w:t xml:space="preserve">must maintain professional confidentiality and avoid conflicts of interest with other Brussels-based entities.</w:t>
      </w:r>
    </w:p>
    <w:bookmarkEnd w:id="29"/>
    <w:bookmarkStart w:id="30" w:name="risk-management"/>
    <w:p>
      <w:pPr>
        <w:pStyle w:val="Heading2"/>
      </w:pPr>
      <w:r>
        <w:t xml:space="preserve">6. Risk Management</w:t>
      </w:r>
    </w:p>
    <w:p>
      <w:pPr>
        <w:pStyle w:val="FirstParagraph"/>
      </w:pPr>
      <w:r>
        <w:t xml:space="preserve">Potential risks include the disruption of normal business operations due to the consultant's presence and the possibility of biased reporting by company management. To mitigate these risks, the</w:t>
      </w:r>
      <w:r>
        <w:t xml:space="preserve"> </w:t>
      </w:r>
      <w:r>
        <w:rPr>
          <w:bCs/>
          <w:b/>
        </w:rPr>
        <w:t xml:space="preserve">Experiment Protocol</w:t>
      </w:r>
      <w:r>
        <w:t xml:space="preserve"> </w:t>
      </w:r>
      <w:r>
        <w:t xml:space="preserve">mandates independent third-party verification of financial data and regular check-ins to ensure the consultant’s activities remain within the defined scope.</w:t>
      </w:r>
    </w:p>
    <w:bookmarkEnd w:id="30"/>
    <w:bookmarkStart w:id="31" w:name="timeline"/>
    <w:p>
      <w:pPr>
        <w:pStyle w:val="Heading2"/>
      </w:pPr>
      <w:r>
        <w:t xml:space="preserve">7. Timeline</w:t>
      </w:r>
    </w:p>
    <w:p>
      <w:pPr>
        <w:numPr>
          <w:ilvl w:val="0"/>
          <w:numId w:val="1008"/>
        </w:numPr>
        <w:pStyle w:val="Compact"/>
      </w:pPr>
      <w:r>
        <w:rPr>
          <w:bCs/>
          <w:b/>
        </w:rPr>
        <w:t xml:space="preserve">Month 1:</w:t>
      </w:r>
      <w:r>
        <w:t xml:space="preserve"> </w:t>
      </w:r>
      <w:r>
        <w:t xml:space="preserve">Recruitment of companies and baseline data collection.</w:t>
      </w:r>
    </w:p>
    <w:p>
      <w:pPr>
        <w:numPr>
          <w:ilvl w:val="0"/>
          <w:numId w:val="1008"/>
        </w:numPr>
        <w:pStyle w:val="Compact"/>
      </w:pPr>
      <w:r>
        <w:rPr>
          <w:bCs/>
          <w:b/>
        </w:rPr>
        <w:t xml:space="preserve">Months 2-7:</w:t>
      </w:r>
      <w:r>
        <w:t xml:space="preserve"> </w:t>
      </w:r>
      <w:r>
        <w:t xml:space="preserve">Implementation of the</w:t>
      </w:r>
      <w:r>
        <w:t xml:space="preserve"> </w:t>
      </w:r>
      <w:r>
        <w:rPr>
          <w:bCs/>
          <w:b/>
        </w:rPr>
        <w:t xml:space="preserve">Business Consultant</w:t>
      </w:r>
      <w:r>
        <w:t xml:space="preserve"> </w:t>
      </w:r>
      <w:r>
        <w:t xml:space="preserve">intervention in the experimental group.</w:t>
      </w:r>
    </w:p>
    <w:p>
      <w:pPr>
        <w:numPr>
          <w:ilvl w:val="0"/>
          <w:numId w:val="1008"/>
        </w:numPr>
        <w:pStyle w:val="Compact"/>
      </w:pPr>
      <w:r>
        <w:rPr>
          <w:bCs/>
          <w:b/>
        </w:rPr>
        <w:t xml:space="preserve">Month 4:</w:t>
      </w:r>
      <w:r>
        <w:t xml:space="preserve"> </w:t>
      </w:r>
      <w:r>
        <w:t xml:space="preserve">Mid-experiment data collection (T1).</w:t>
      </w:r>
    </w:p>
    <w:p>
      <w:pPr>
        <w:numPr>
          <w:ilvl w:val="0"/>
          <w:numId w:val="1008"/>
        </w:numPr>
        <w:pStyle w:val="Compact"/>
      </w:pPr>
      <w:r>
        <w:rPr>
          <w:bCs/>
          <w:b/>
        </w:rPr>
        <w:t xml:space="preserve">Month 8:</w:t>
      </w:r>
      <w:r>
        <w:t xml:space="preserve"> </w:t>
      </w:r>
      <w:r>
        <w:t xml:space="preserve">Post-experiment data collection (T2) and analysis.</w:t>
      </w:r>
    </w:p>
    <w:p>
      <w:pPr>
        <w:numPr>
          <w:ilvl w:val="0"/>
          <w:numId w:val="1008"/>
        </w:numPr>
        <w:pStyle w:val="Compact"/>
      </w:pPr>
      <w:r>
        <w:rPr>
          <w:bCs/>
          <w:b/>
        </w:rPr>
        <w:t xml:space="preserve">Month 9:</w:t>
      </w:r>
      <w:r>
        <w:t xml:space="preserve"> </w:t>
      </w:r>
      <w:r>
        <w:t xml:space="preserve">Reporting and dissemination of findings.</w:t>
      </w:r>
    </w:p>
    <w:bookmarkEnd w:id="31"/>
    <w:bookmarkStart w:id="32"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provides a rigorous framework for assessing the tangible benefits of hiring a</w:t>
      </w:r>
      <w:r>
        <w:t xml:space="preserve"> </w:t>
      </w:r>
      <w:r>
        <w:rPr>
          <w:bCs/>
          <w:b/>
        </w:rPr>
        <w:t xml:space="preserve">Business Consultant</w:t>
      </w:r>
      <w:r>
        <w:t xml:space="preserve"> </w:t>
      </w:r>
      <w:r>
        <w:t xml:space="preserve">in the unique environment of</w:t>
      </w:r>
      <w:r>
        <w:t xml:space="preserve"> </w:t>
      </w:r>
      <w:r>
        <w:rPr>
          <w:bCs/>
          <w:b/>
        </w:rPr>
        <w:t xml:space="preserve">Belgium Brussels</w:t>
      </w:r>
      <w:r>
        <w:t xml:space="preserve">. By isolating variables and controlling for external economic factors, this study aims to provide actionable insights for businesses operating in the European capital. The findings will contribute to the broader understanding of management consulting efficacy in highly regulated, multicultural urban centers.</w:t>
      </w:r>
    </w:p>
    <w:p>
      <w:pPr>
        <w:pStyle w:val="BodyText"/>
      </w:pPr>
      <w:r>
        <w:rPr>
          <w:bCs/>
          <w:b/>
        </w:rPr>
        <w:t xml:space="preserve">Note:</w:t>
      </w:r>
      <w:r>
        <w:t xml:space="preserve"> </w:t>
      </w:r>
      <w:r>
        <w:t xml:space="preserve">This document is a template for an experimental protocol. Actual implementation requires approval from relevant ethical review boards and legal counsel familiar with Belgian corporate law.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Brussels</dc:title>
  <dc:creator/>
  <dc:language>en</dc:language>
  <cp:keywords/>
  <dcterms:created xsi:type="dcterms:W3CDTF">2026-10-10T07:21:05Z</dcterms:created>
  <dcterms:modified xsi:type="dcterms:W3CDTF">2026-10-10T07:21:05Z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