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Brazil</w:t>
      </w:r>
      <w:r>
        <w:t xml:space="preserve"> </w:t>
      </w:r>
      <w:r>
        <w:t xml:space="preserve">Brasília</w:t>
      </w:r>
    </w:p>
    <w:bookmarkStart w:id="20" w:name="X19e02639ba0091a3c8840d4154ad2ce73447f0b"/>
    <w:p>
      <w:pPr>
        <w:pStyle w:val="Heading1"/>
      </w:pPr>
      <w:r>
        <w:t xml:space="preserve">Experiment Protocol: Business Consultant Efficacy in Brazil Brasília</w:t>
      </w:r>
    </w:p>
    <w:p>
      <w:pPr>
        <w:pStyle w:val="FirstParagraph"/>
      </w:pPr>
      <w:r>
        <w:rPr>
          <w:bCs/>
          <w:b/>
        </w:rPr>
        <w:t xml:space="preserve">Protocol ID:</w:t>
      </w:r>
      <w:r>
        <w:t xml:space="preserve"> </w:t>
      </w:r>
      <w:r>
        <w:t xml:space="preserve">BR-BH-BC-2024-001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Brasília, Federal District, Brazil</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[Institution/Organization Redacted]</w:t>
      </w:r>
    </w:p>
    <w:bookmarkEnd w:id="20"/>
    <w:bookmarkStart w:id="21" w:name="introduction-and-background"/>
    <w:p>
      <w:pPr>
        <w:pStyle w:val="Heading2"/>
      </w:pPr>
      <w:r>
        <w:t xml:space="preserve">1. Introduction and Background</w:t>
      </w:r>
    </w:p>
    <w:p>
      <w:pPr>
        <w:pStyle w:val="FirstParagraph"/>
      </w:pPr>
      <w:r>
        <w:t xml:space="preserve">The economic landscape of</w:t>
      </w:r>
      <w:r>
        <w:t xml:space="preserve"> </w:t>
      </w:r>
      <w:r>
        <w:rPr>
          <w:bCs/>
          <w:b/>
        </w:rPr>
        <w:t xml:space="preserve">Brazil Brasília</w:t>
      </w:r>
      <w:r>
        <w:t xml:space="preserve"> </w:t>
      </w:r>
      <w:r>
        <w:t xml:space="preserve">is unique due to its status as the federal capital and a hub for government-related services, large corporations, and startups. The city's regulatory environment, bureaucratic processes, and cultural dynamics significantly influence business operations. In this context, the role of a</w:t>
      </w:r>
      <w:r>
        <w:t xml:space="preserve"> </w:t>
      </w:r>
      <w:r>
        <w:rPr>
          <w:bCs/>
          <w:b/>
        </w:rPr>
        <w:t xml:space="preserve">Business Consultant</w:t>
      </w:r>
      <w:r>
        <w:t xml:space="preserve"> </w:t>
      </w:r>
      <w:r>
        <w:t xml:space="preserve">becomes critical in helping organizations navigate complexities, optimize performance, and achieve strategic objectives.</w:t>
      </w:r>
    </w:p>
    <w:p>
      <w:pPr>
        <w:pStyle w:val="BodyText"/>
      </w:pPr>
      <w:r>
        <w:t xml:space="preserve">This</w:t>
      </w:r>
      <w:r>
        <w:t xml:space="preserve"> </w:t>
      </w:r>
      <w:r>
        <w:rPr>
          <w:bCs/>
          <w:b/>
        </w:rPr>
        <w:t xml:space="preserve">Experiment Protocol</w:t>
      </w:r>
      <w:r>
        <w:t xml:space="preserve"> </w:t>
      </w:r>
      <w:r>
        <w:t xml:space="preserve">aims to systematically evaluate the impact of engaging a Business Consultant on key performance indicators (KPIs) of small and medium-sized enterprises (SMEs) operating in Brasília. The study will focus on measurable outcomes such as revenue growth, operational efficiency, employee satisfaction, and compliance with local regulations.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determine whether the involvement of a Business Consultant leads to statistically significant improvements in the financial and operational performance of SMEs in Brasília over a six-month period.</w:t>
      </w:r>
    </w:p>
    <w:bookmarkEnd w:id="22"/>
    <w:bookmarkStart w:id="23" w:name="secondary-objectives"/>
    <w:p>
      <w:pPr>
        <w:pStyle w:val="Heading3"/>
      </w:pPr>
      <w:r>
        <w:t xml:space="preserve">2.2 Secondary Objectives</w:t>
      </w:r>
    </w:p>
    <w:p>
      <w:pPr>
        <w:numPr>
          <w:ilvl w:val="0"/>
          <w:numId w:val="1001"/>
        </w:numPr>
        <w:pStyle w:val="Compact"/>
      </w:pPr>
      <w:r>
        <w:t xml:space="preserve">To assess the consultant's ability to enhance organizational adaptability to regulatory changes in Brazil Brasília.</w:t>
      </w:r>
    </w:p>
    <w:p>
      <w:pPr>
        <w:numPr>
          <w:ilvl w:val="0"/>
          <w:numId w:val="1001"/>
        </w:numPr>
        <w:pStyle w:val="Compact"/>
      </w:pPr>
      <w:r>
        <w:t xml:space="preserve">To evaluate the impact of consulting interventions on employee morale and retention rates.</w:t>
      </w:r>
    </w:p>
    <w:p>
      <w:pPr>
        <w:numPr>
          <w:ilvl w:val="0"/>
          <w:numId w:val="1001"/>
        </w:numPr>
        <w:pStyle w:val="Compact"/>
      </w:pPr>
      <w:r>
        <w:t xml:space="preserve">To identify best practices for integrating external expertise into local business strategies.</w:t>
      </w:r>
    </w:p>
    <w:bookmarkEnd w:id="23"/>
    <w:bookmarkEnd w:id="24"/>
    <w:bookmarkStart w:id="29"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Participating SMEs will be divided into two groups:</w:t>
      </w:r>
    </w:p>
    <w:p>
      <w:pPr>
        <w:numPr>
          <w:ilvl w:val="0"/>
          <w:numId w:val="1002"/>
        </w:numPr>
        <w:pStyle w:val="Compact"/>
      </w:pPr>
      <w:r>
        <w:rPr>
          <w:bCs/>
          <w:b/>
        </w:rPr>
        <w:t xml:space="preserve">Intervention Group:</w:t>
      </w:r>
      <w:r>
        <w:t xml:space="preserve"> </w:t>
      </w:r>
      <w:r>
        <w:t xml:space="preserve">Companies that engage a certified Business Consultant for a six-month period.</w:t>
      </w:r>
    </w:p>
    <w:p>
      <w:pPr>
        <w:numPr>
          <w:ilvl w:val="0"/>
          <w:numId w:val="1002"/>
        </w:numPr>
        <w:pStyle w:val="Compact"/>
      </w:pPr>
      <w:r>
        <w:rPr>
          <w:bCs/>
          <w:b/>
        </w:rPr>
        <w:t xml:space="preserve">Control Group:</w:t>
      </w:r>
      <w:r>
        <w:t xml:space="preserve"> </w:t>
      </w:r>
      <w:r>
        <w:t xml:space="preserve">Companies that do not engage a consultant but continue their usual operations.</w:t>
      </w:r>
    </w:p>
    <w:p>
      <w:pPr>
        <w:pStyle w:val="FirstParagraph"/>
      </w:pPr>
      <w:r>
        <w:t xml:space="preserve">Randomization will ensure that both groups are comparable in terms of size, industry, and baseline performance metrics.</w:t>
      </w:r>
    </w:p>
    <w:bookmarkEnd w:id="25"/>
    <w:bookmarkStart w:id="26" w:name="participant-selection"/>
    <w:p>
      <w:pPr>
        <w:pStyle w:val="Heading3"/>
      </w:pPr>
      <w:r>
        <w:t xml:space="preserve">3.2 Participant Selection</w:t>
      </w:r>
    </w:p>
    <w:p>
      <w:pPr>
        <w:pStyle w:val="FirstParagraph"/>
      </w:pPr>
      <w:r>
        <w:t xml:space="preserve">Eligible participants must meet the following criteria:</w:t>
      </w:r>
    </w:p>
    <w:p>
      <w:pPr>
        <w:numPr>
          <w:ilvl w:val="0"/>
          <w:numId w:val="1003"/>
        </w:numPr>
        <w:pStyle w:val="Compact"/>
      </w:pPr>
      <w:r>
        <w:t xml:space="preserve">Registered and operating in Brasília, Federal District, Brazil.</w:t>
      </w:r>
    </w:p>
    <w:p>
      <w:pPr>
        <w:numPr>
          <w:ilvl w:val="0"/>
          <w:numId w:val="1003"/>
        </w:numPr>
        <w:pStyle w:val="Compact"/>
      </w:pPr>
      <w:r>
        <w:t xml:space="preserve">Classified as SMEs according to Brazilian law (Lei Complementar nº 123/2006).</w:t>
      </w:r>
    </w:p>
    <w:p>
      <w:pPr>
        <w:numPr>
          <w:ilvl w:val="0"/>
          <w:numId w:val="1003"/>
        </w:numPr>
        <w:pStyle w:val="Compact"/>
      </w:pPr>
      <w:r>
        <w:t xml:space="preserve">Willing to provide access to relevant financial and operational data.</w:t>
      </w:r>
    </w:p>
    <w:p>
      <w:pPr>
        <w:numPr>
          <w:ilvl w:val="0"/>
          <w:numId w:val="1003"/>
        </w:numPr>
        <w:pStyle w:val="Compact"/>
      </w:pPr>
      <w:r>
        <w:t xml:space="preserve">Not currently engaged with another Business Consultant.</w:t>
      </w:r>
    </w:p>
    <w:p>
      <w:pPr>
        <w:pStyle w:val="FirstParagraph"/>
      </w:pPr>
      <w:r>
        <w:t xml:space="preserve">A total of 40 companies will be recruited, with 20 assigned to each group. Recruitment will occur through partnerships with local business associations and chambers of commerce.</w:t>
      </w:r>
    </w:p>
    <w:bookmarkEnd w:id="26"/>
    <w:bookmarkStart w:id="27" w:name="intervention-details"/>
    <w:p>
      <w:pPr>
        <w:pStyle w:val="Heading3"/>
      </w:pPr>
      <w:r>
        <w:t xml:space="preserve">3.3 Intervention Details</w:t>
      </w:r>
    </w:p>
    <w:p>
      <w:pPr>
        <w:pStyle w:val="FirstParagraph"/>
      </w:pPr>
      <w:r>
        <w:t xml:space="preserve">The Business Consultant assigned to the intervention group will:</w:t>
      </w:r>
    </w:p>
    <w:p>
      <w:pPr>
        <w:numPr>
          <w:ilvl w:val="0"/>
          <w:numId w:val="1004"/>
        </w:numPr>
        <w:pStyle w:val="Compact"/>
      </w:pPr>
      <w:r>
        <w:t xml:space="preserve">Conduct an initial diagnostic assessment of the company’s operations, finances, and market position.</w:t>
      </w:r>
    </w:p>
    <w:p>
      <w:pPr>
        <w:numPr>
          <w:ilvl w:val="0"/>
          <w:numId w:val="1004"/>
        </w:numPr>
        <w:pStyle w:val="Compact"/>
      </w:pPr>
      <w:r>
        <w:t xml:space="preserve">Develop a tailored action plan addressing identified challenges and opportunities.</w:t>
      </w:r>
    </w:p>
    <w:p>
      <w:pPr>
        <w:numPr>
          <w:ilvl w:val="0"/>
          <w:numId w:val="1004"/>
        </w:numPr>
        <w:pStyle w:val="Compact"/>
      </w:pPr>
      <w:r>
        <w:t xml:space="preserve">Provide ongoing guidance and support, including workshops, training sessions, and regular progress reviews.</w:t>
      </w:r>
    </w:p>
    <w:p>
      <w:pPr>
        <w:numPr>
          <w:ilvl w:val="0"/>
          <w:numId w:val="1004"/>
        </w:numPr>
        <w:pStyle w:val="Compact"/>
      </w:pPr>
      <w:r>
        <w:t xml:space="preserve">Ensure alignment with local regulations and cultural norms specific to Brazil Brasília.</w:t>
      </w:r>
    </w:p>
    <w:p>
      <w:pPr>
        <w:pStyle w:val="FirstParagraph"/>
      </w:pPr>
      <w:r>
        <w:t xml:space="preserve">Consultants will be selected based on their qualifications, experience, and familiarity with the Brazilian market.</w:t>
      </w:r>
    </w:p>
    <w:bookmarkEnd w:id="27"/>
    <w:bookmarkStart w:id="28" w:name="data-collection"/>
    <w:p>
      <w:pPr>
        <w:pStyle w:val="Heading3"/>
      </w:pPr>
      <w:r>
        <w:t xml:space="preserve">3.4 Data Collection</w:t>
      </w:r>
    </w:p>
    <w:p>
      <w:pPr>
        <w:pStyle w:val="FirstParagraph"/>
      </w:pPr>
      <w:r>
        <w:t xml:space="preserve">Data will be collected at three intervals: baseline (before the intervention), midline (after three months), and endpoint (after six months).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Revenue Growth</w:t>
            </w:r>
          </w:p>
        </w:tc>
        <w:tc>
          <w:tcPr/>
          <w:p>
            <w:pPr>
              <w:pStyle w:val="Compact"/>
              <w:jc w:val="left"/>
            </w:pPr>
            <w:r>
              <w:t xml:space="preserve">Percentage change in monthly revenue.</w:t>
            </w:r>
          </w:p>
        </w:tc>
      </w:tr>
      <w:tr>
        <w:tc>
          <w:tcPr/>
          <w:p>
            <w:pPr>
              <w:pStyle w:val="Compact"/>
              <w:jc w:val="left"/>
            </w:pPr>
            <w:r>
              <w:t xml:space="preserve">Operational Efficiency</w:t>
            </w:r>
          </w:p>
        </w:tc>
        <w:tc>
          <w:tcPr/>
          <w:p>
            <w:pPr>
              <w:pStyle w:val="Compact"/>
              <w:jc w:val="left"/>
            </w:pPr>
            <w:r>
              <w:t xml:space="preserve">Reduction in process cycle times and cost savings.</w:t>
            </w:r>
          </w:p>
        </w:tc>
      </w:tr>
      <w:tr>
        <w:tc>
          <w:tcPr/>
          <w:p>
            <w:pPr>
              <w:pStyle w:val="Compact"/>
              <w:jc w:val="left"/>
            </w:pPr>
            <w:r>
              <w:t xml:space="preserve">Employee Satisfaction</w:t>
            </w:r>
          </w:p>
        </w:tc>
        <w:tc>
          <w:tcPr/>
          <w:p>
            <w:pPr>
              <w:pStyle w:val="Compact"/>
              <w:jc w:val="left"/>
            </w:pPr>
            <w:r>
              <w:t xml:space="preserve">Survey-based scores on workplace conditions and leadership effectiveness.</w:t>
            </w:r>
          </w:p>
        </w:tc>
      </w:tr>
      <w:tr>
        <w:tc>
          <w:tcPr/>
          <w:p>
            <w:pPr>
              <w:pStyle w:val="Compact"/>
              <w:jc w:val="left"/>
            </w:pPr>
            <w:r>
              <w:t xml:space="preserve">Regulatory Compliance</w:t>
            </w:r>
          </w:p>
        </w:tc>
        <w:tc>
          <w:tcPr/>
          <w:p>
            <w:pPr>
              <w:pStyle w:val="Compact"/>
              <w:jc w:val="left"/>
            </w:pPr>
            <w:r>
              <w:t xml:space="preserve">Number of compliance-related issues reported.</w:t>
            </w:r>
          </w:p>
        </w:tc>
      </w:tr>
    </w:tbl>
    <w:bookmarkEnd w:id="28"/>
    <w:bookmarkEnd w:id="29"/>
    <w:bookmarkStart w:id="30" w:name="ethical-considerations"/>
    <w:p>
      <w:pPr>
        <w:pStyle w:val="Heading2"/>
      </w:pPr>
      <w:r>
        <w:t xml:space="preserve">4. Ethical Considerations</w:t>
      </w:r>
    </w:p>
    <w:p>
      <w:pPr>
        <w:pStyle w:val="FirstParagraph"/>
      </w:pPr>
      <w:r>
        <w:t xml:space="preserve">This</w:t>
      </w:r>
      <w:r>
        <w:t xml:space="preserve"> </w:t>
      </w:r>
      <w:r>
        <w:rPr>
          <w:bCs/>
          <w:b/>
        </w:rPr>
        <w:t xml:space="preserve">Experiment Protocol</w:t>
      </w:r>
      <w:r>
        <w:t xml:space="preserve"> </w:t>
      </w:r>
      <w:r>
        <w:t xml:space="preserve">adheres to ethical guidelines established by the Brazilian National Health Council (CNS) and international standards for research involving human subjects. Key considerations include:</w:t>
      </w:r>
    </w:p>
    <w:p>
      <w:pPr>
        <w:numPr>
          <w:ilvl w:val="0"/>
          <w:numId w:val="1005"/>
        </w:numPr>
        <w:pStyle w:val="Compact"/>
      </w:pPr>
      <w:r>
        <w:t xml:space="preserve">Informed consent from all participating companies and employees.</w:t>
      </w:r>
    </w:p>
    <w:p>
      <w:pPr>
        <w:numPr>
          <w:ilvl w:val="0"/>
          <w:numId w:val="1005"/>
        </w:numPr>
        <w:pStyle w:val="Compact"/>
      </w:pPr>
      <w:r>
        <w:t xml:space="preserve">Confidentiality of sensitive business and personal data.</w:t>
      </w:r>
    </w:p>
    <w:p>
      <w:pPr>
        <w:numPr>
          <w:ilvl w:val="0"/>
          <w:numId w:val="1005"/>
        </w:numPr>
        <w:pStyle w:val="Compact"/>
      </w:pPr>
      <w:r>
        <w:t xml:space="preserve">Voluntary participation with the right to withdraw at any time without penalty.</w:t>
      </w:r>
    </w:p>
    <w:bookmarkEnd w:id="30"/>
    <w:bookmarkStart w:id="31" w:name="timeline"/>
    <w:p>
      <w:pPr>
        <w:pStyle w:val="Heading2"/>
      </w:pPr>
      <w:r>
        <w:t xml:space="preserve">5. Timeline</w:t>
      </w:r>
    </w:p>
    <w:p>
      <w:pPr>
        <w:pStyle w:val="FirstParagraph"/>
      </w:pPr>
      <w:r>
        <w:t xml:space="preserve">The experiment will span eight months, structured as follows:</w:t>
      </w:r>
    </w:p>
    <w:p>
      <w:pPr>
        <w:numPr>
          <w:ilvl w:val="0"/>
          <w:numId w:val="1006"/>
        </w:numPr>
        <w:pStyle w:val="Compact"/>
      </w:pPr>
      <w:r>
        <w:t xml:space="preserve">Months 1–2: Recruitment and randomization.</w:t>
      </w:r>
    </w:p>
    <w:p>
      <w:pPr>
        <w:numPr>
          <w:ilvl w:val="0"/>
          <w:numId w:val="1006"/>
        </w:numPr>
        <w:pStyle w:val="Compact"/>
      </w:pPr>
      <w:r>
        <w:t xml:space="preserve">Month 3: Baseline data collection.</w:t>
      </w:r>
    </w:p>
    <w:p>
      <w:pPr>
        <w:numPr>
          <w:ilvl w:val="0"/>
          <w:numId w:val="1006"/>
        </w:numPr>
        <w:pStyle w:val="Compact"/>
      </w:pPr>
      <w:r>
        <w:t xml:space="preserve">Months 4–9: Intervention period for the treatment group.</w:t>
      </w:r>
    </w:p>
    <w:p>
      <w:pPr>
        <w:numPr>
          <w:ilvl w:val="0"/>
          <w:numId w:val="1006"/>
        </w:numPr>
        <w:pStyle w:val="Compact"/>
      </w:pPr>
      <w:r>
        <w:t xml:space="preserve">Month 10: Endpoint data collection and analysis.</w:t>
      </w:r>
    </w:p>
    <w:bookmarkEnd w:id="31"/>
    <w:bookmarkStart w:id="32" w:name="expected-outcomes"/>
    <w:p>
      <w:pPr>
        <w:pStyle w:val="Heading2"/>
      </w:pPr>
      <w:r>
        <w:t xml:space="preserve">6. Expected Outcomes</w:t>
      </w:r>
    </w:p>
    <w:p>
      <w:pPr>
        <w:pStyle w:val="FirstParagraph"/>
      </w:pPr>
      <w:r>
        <w:t xml:space="preserve">It is hypothesized that SMEs in the intervention group will demonstrate superior performance across all measured KPIs compared to the control group. Specifically:</w:t>
      </w:r>
    </w:p>
    <w:p>
      <w:pPr>
        <w:numPr>
          <w:ilvl w:val="0"/>
          <w:numId w:val="1007"/>
        </w:numPr>
        <w:pStyle w:val="Compact"/>
      </w:pPr>
      <w:r>
        <w:t xml:space="preserve">Average revenue growth of at least 15% higher in the intervention group.</w:t>
      </w:r>
    </w:p>
    <w:p>
      <w:pPr>
        <w:numPr>
          <w:ilvl w:val="0"/>
          <w:numId w:val="1007"/>
        </w:numPr>
        <w:pStyle w:val="Compact"/>
      </w:pPr>
      <w:r>
        <w:t xml:space="preserve">Significant reductions in operational inefficiencies and compliance issues.</w:t>
      </w:r>
    </w:p>
    <w:p>
      <w:pPr>
        <w:numPr>
          <w:ilvl w:val="0"/>
          <w:numId w:val="1007"/>
        </w:numPr>
        <w:pStyle w:val="Compact"/>
      </w:pPr>
      <w:r>
        <w:t xml:space="preserve">Improved employee satisfaction scores by at least 10%.</w:t>
      </w:r>
    </w:p>
    <w:p>
      <w:pPr>
        <w:pStyle w:val="FirstParagraph"/>
      </w:pPr>
      <w:r>
        <w:t xml:space="preserve">These findings will provide valuable insights into the value proposition of hiring a Business Consultant in the unique context of Brazil Brasília.</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rigorous and systematic approach to understanding the role of a Business Consultant in driving organizational success within the distinctive environment of Brazil Brasília. By combining quantitative and qualitative methods, the study aims to generate actionable recommendations for businesses, policymakers, and consultants alike.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Brazil Brasília</dc:title>
  <dc:creator/>
  <dc:language>en</dc:language>
  <cp:keywords/>
  <dcterms:created xsi:type="dcterms:W3CDTF">2026-10-10T05:53:19Z</dcterms:created>
  <dcterms:modified xsi:type="dcterms:W3CDTF">2026-10-10T05:53:19Z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