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Canada</w:t>
      </w:r>
      <w:r>
        <w:t xml:space="preserve"> </w:t>
      </w:r>
      <w:r>
        <w:t xml:space="preserve">Toronto</w:t>
      </w:r>
    </w:p>
    <w:bookmarkStart w:id="20" w:name="Xdb875b108d2c7deeacc7511132ef5f2788e944e"/>
    <w:p>
      <w:pPr>
        <w:pStyle w:val="Heading1"/>
      </w:pPr>
      <w:r>
        <w:t xml:space="preserve">Experiment Protocol: Evaluating the Impact of Business Consultant Interventions on SME Growth in Canada Toronto</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Canada Toronto</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assessing the effectiveness of Business Consultant interventions on small and medium-sized enterprises (SMEs) in Canada Toronto. The study aims to provide empirical evidence on how strategic guidance from Business Consultants influences operational efficiency, revenue growth, and market competitiveness within the dynamic economic landscape of Canada Toronto.</w:t>
      </w:r>
    </w:p>
    <w:p>
      <w:pPr>
        <w:pStyle w:val="BodyText"/>
      </w:pPr>
      <w:r>
        <w:t xml:space="preserve">The research is particularly relevant given the unique challenges faced by SMEs in Canada Toronto, including high operational costs, intense competition, and regulatory complexities. By focusing on this specific geographic and economic context, the study seeks to generate actionable insights for stakeholders, including policymakers, Business Consultants, and business owners.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Business Consultant interventions on key performance indicators (KPIs) of SMEs in Canada Toronto.</w:t>
      </w:r>
    </w:p>
    <w:p>
      <w:pPr>
        <w:numPr>
          <w:ilvl w:val="0"/>
          <w:numId w:val="1001"/>
        </w:numPr>
        <w:pStyle w:val="Compact"/>
      </w:pPr>
      <w:r>
        <w:t xml:space="preserve">To identify the most effective consulting strategies for addressing common challenges faced by SMEs in Canada Toronto.</w:t>
      </w:r>
    </w:p>
    <w:p>
      <w:pPr>
        <w:numPr>
          <w:ilvl w:val="0"/>
          <w:numId w:val="1001"/>
        </w:numPr>
        <w:pStyle w:val="Compact"/>
      </w:pPr>
      <w:r>
        <w:t xml:space="preserve">To evaluate the long-term sustainability of improvements achieved through Business Consultant engagements.</w:t>
      </w:r>
    </w:p>
    <w:p>
      <w:pPr>
        <w:numPr>
          <w:ilvl w:val="0"/>
          <w:numId w:val="1001"/>
        </w:numPr>
        <w:pStyle w:val="Compact"/>
      </w:pPr>
      <w:r>
        <w:t xml:space="preserve">To provide recommendations for optimizing the role of Business Consultants in fostering economic growth in Canada Toronto.</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SMEs in Canada Toronto will be randomly assigned to either an intervention group, which will receive services from a Business Consultant, or a control group, which will not. This design ensures that any observed differences in outcomes can be attributed to the Business Consultant interventions rather than external factors.</w:t>
      </w:r>
    </w:p>
    <w:bookmarkEnd w:id="23"/>
    <w:bookmarkStart w:id="24" w:name="participants"/>
    <w:p>
      <w:pPr>
        <w:pStyle w:val="Heading3"/>
      </w:pPr>
      <w:r>
        <w:t xml:space="preserve">3.2 Participants</w:t>
      </w:r>
    </w:p>
    <w:p>
      <w:pPr>
        <w:pStyle w:val="FirstParagraph"/>
      </w:pPr>
      <w:r>
        <w:t xml:space="preserve">The study will include 100 SMEs operating in Canada Toronto, with 50 assigned to each group. Participants will be selected based on the following criteria:</w:t>
      </w:r>
    </w:p>
    <w:p>
      <w:pPr>
        <w:numPr>
          <w:ilvl w:val="0"/>
          <w:numId w:val="1002"/>
        </w:numPr>
        <w:pStyle w:val="Compact"/>
      </w:pPr>
      <w:r>
        <w:t xml:space="preserve">Established for at least two years.</w:t>
      </w:r>
    </w:p>
    <w:p>
      <w:pPr>
        <w:numPr>
          <w:ilvl w:val="0"/>
          <w:numId w:val="1002"/>
        </w:numPr>
        <w:pStyle w:val="Compact"/>
      </w:pPr>
      <w:r>
        <w:t xml:space="preserve">Employing between 10 and 200 employees.</w:t>
      </w:r>
    </w:p>
    <w:p>
      <w:pPr>
        <w:numPr>
          <w:ilvl w:val="0"/>
          <w:numId w:val="1002"/>
        </w:numPr>
        <w:pStyle w:val="Compact"/>
      </w:pPr>
      <w:r>
        <w:t xml:space="preserve">Operating in diverse sectors, including retail, technology, manufacturing, and services.</w:t>
      </w:r>
    </w:p>
    <w:p>
      <w:pPr>
        <w:numPr>
          <w:ilvl w:val="0"/>
          <w:numId w:val="1002"/>
        </w:numPr>
        <w:pStyle w:val="Compact"/>
      </w:pPr>
      <w:r>
        <w:t xml:space="preserve">Willing to commit to the study duration of 12 months.</w:t>
      </w:r>
    </w:p>
    <w:bookmarkEnd w:id="24"/>
    <w:bookmarkStart w:id="25" w:name="intervention"/>
    <w:p>
      <w:pPr>
        <w:pStyle w:val="Heading3"/>
      </w:pPr>
      <w:r>
        <w:t xml:space="preserve">3.3 Intervention</w:t>
      </w:r>
    </w:p>
    <w:p>
      <w:pPr>
        <w:pStyle w:val="FirstParagraph"/>
      </w:pPr>
      <w:r>
        <w:t xml:space="preserve">The intervention group will engage with a Business Consultant for a period of six months. The Business Consultant will provide tailored services, including:</w:t>
      </w:r>
    </w:p>
    <w:p>
      <w:pPr>
        <w:numPr>
          <w:ilvl w:val="0"/>
          <w:numId w:val="1003"/>
        </w:numPr>
        <w:pStyle w:val="Compact"/>
      </w:pPr>
      <w:r>
        <w:t xml:space="preserve">Strategic planning and goal setting.</w:t>
      </w:r>
    </w:p>
    <w:p>
      <w:pPr>
        <w:numPr>
          <w:ilvl w:val="0"/>
          <w:numId w:val="1003"/>
        </w:numPr>
        <w:pStyle w:val="Compact"/>
      </w:pPr>
      <w:r>
        <w:t xml:space="preserve">Operational efficiency assessments and recommendations.</w:t>
      </w:r>
    </w:p>
    <w:p>
      <w:pPr>
        <w:numPr>
          <w:ilvl w:val="0"/>
          <w:numId w:val="1003"/>
        </w:numPr>
        <w:pStyle w:val="Compact"/>
      </w:pPr>
      <w:r>
        <w:t xml:space="preserve">Financial analysis and budgeting support.</w:t>
      </w:r>
    </w:p>
    <w:p>
      <w:pPr>
        <w:numPr>
          <w:ilvl w:val="0"/>
          <w:numId w:val="1003"/>
        </w:numPr>
        <w:pStyle w:val="Compact"/>
      </w:pPr>
      <w:r>
        <w:t xml:space="preserve">Market analysis and competitive positioning strategies.</w:t>
      </w:r>
    </w:p>
    <w:p>
      <w:pPr>
        <w:numPr>
          <w:ilvl w:val="0"/>
          <w:numId w:val="1003"/>
        </w:numPr>
        <w:pStyle w:val="Compact"/>
      </w:pPr>
      <w:r>
        <w:t xml:space="preserve">Leadership development and team training.</w:t>
      </w:r>
    </w:p>
    <w:p>
      <w:pPr>
        <w:pStyle w:val="FirstParagraph"/>
      </w:pPr>
      <w:r>
        <w:t xml:space="preserve">The control group will continue their operations without external consulting support but will be monitored for changes in KPIs.</w:t>
      </w:r>
    </w:p>
    <w:bookmarkEnd w:id="25"/>
    <w:bookmarkStart w:id="26" w:name="data-collection"/>
    <w:p>
      <w:pPr>
        <w:pStyle w:val="Heading3"/>
      </w:pPr>
      <w:r>
        <w:t xml:space="preserve">3.4 Data Collection</w:t>
      </w:r>
    </w:p>
    <w:p>
      <w:pPr>
        <w:pStyle w:val="FirstParagraph"/>
      </w:pPr>
      <w:r>
        <w:t xml:space="preserve">Data will be collected at three intervals: baseline (before the intervention), mid-point (after six months), and end-point (after 12 months). The following data points will be gathered:</w:t>
      </w:r>
    </w:p>
    <w:p>
      <w:pPr>
        <w:numPr>
          <w:ilvl w:val="0"/>
          <w:numId w:val="1004"/>
        </w:numPr>
        <w:pStyle w:val="Compact"/>
      </w:pPr>
      <w:r>
        <w:t xml:space="preserve">Revenue growth.</w:t>
      </w:r>
    </w:p>
    <w:p>
      <w:pPr>
        <w:numPr>
          <w:ilvl w:val="0"/>
          <w:numId w:val="1004"/>
        </w:numPr>
        <w:pStyle w:val="Compact"/>
      </w:pPr>
      <w:r>
        <w:t xml:space="preserve">Profit margins.</w:t>
      </w:r>
    </w:p>
    <w:p>
      <w:pPr>
        <w:numPr>
          <w:ilvl w:val="0"/>
          <w:numId w:val="1004"/>
        </w:numPr>
        <w:pStyle w:val="Compact"/>
      </w:pPr>
      <w:r>
        <w:t xml:space="preserve">Employee productivity metrics.</w:t>
      </w:r>
    </w:p>
    <w:p>
      <w:pPr>
        <w:numPr>
          <w:ilvl w:val="0"/>
          <w:numId w:val="1004"/>
        </w:numPr>
        <w:pStyle w:val="Compact"/>
      </w:pPr>
      <w:r>
        <w:t xml:space="preserve">Customer satisfaction scores.</w:t>
      </w:r>
    </w:p>
    <w:p>
      <w:pPr>
        <w:numPr>
          <w:ilvl w:val="0"/>
          <w:numId w:val="1004"/>
        </w:numPr>
        <w:pStyle w:val="Compact"/>
      </w:pPr>
      <w:r>
        <w:t xml:space="preserve">Market share changes.</w:t>
      </w:r>
    </w:p>
    <w:p>
      <w:pPr>
        <w:numPr>
          <w:ilvl w:val="0"/>
          <w:numId w:val="1004"/>
        </w:numPr>
        <w:pStyle w:val="Compact"/>
      </w:pPr>
      <w:r>
        <w:t xml:space="preserve">Qualitative feedback from business owners and employees.</w:t>
      </w:r>
    </w:p>
    <w:p>
      <w:pPr>
        <w:pStyle w:val="FirstParagraph"/>
      </w:pPr>
      <w:r>
        <w:t xml:space="preserve">Data will be collected through surveys, financial records, and interviews to ensure a comprehensive understanding of the impact of Business Consultant interventions.</w:t>
      </w:r>
    </w:p>
    <w:bookmarkEnd w:id="26"/>
    <w:bookmarkEnd w:id="27"/>
    <w:bookmarkStart w:id="28" w:name="ethical-considerations"/>
    <w:p>
      <w:pPr>
        <w:pStyle w:val="Heading2"/>
      </w:pPr>
      <w:r>
        <w:t xml:space="preserve">4. Ethical Considerations</w:t>
      </w:r>
    </w:p>
    <w:p>
      <w:pPr>
        <w:pStyle w:val="FirstParagraph"/>
      </w:pPr>
      <w:r>
        <w:t xml:space="preserve">This study will adhere to ethical guidelines for research involving human subjects. Informed consent will be obtained from all participating SMEs, and confidentiality will be maintained throughout the study. Participants will be informed of their right to withdraw from the study at any time without penalty. The study protocol has been reviewed and approved by an independent ethics board.</w:t>
      </w:r>
    </w:p>
    <w:bookmarkEnd w:id="28"/>
    <w:bookmarkStart w:id="29" w:name="expected-outcomes"/>
    <w:p>
      <w:pPr>
        <w:pStyle w:val="Heading2"/>
      </w:pPr>
      <w:r>
        <w:t xml:space="preserve">5. Expected Outcomes</w:t>
      </w:r>
    </w:p>
    <w:p>
      <w:pPr>
        <w:pStyle w:val="FirstParagraph"/>
      </w:pPr>
      <w:r>
        <w:t xml:space="preserve">The study anticipates that SMEs in the intervention group will demonstrate statistically significant improvements in KPIs compared to the control group. Specifically, it is expected that:</w:t>
      </w:r>
    </w:p>
    <w:p>
      <w:pPr>
        <w:numPr>
          <w:ilvl w:val="0"/>
          <w:numId w:val="1005"/>
        </w:numPr>
        <w:pStyle w:val="Compact"/>
      </w:pPr>
      <w:r>
        <w:t xml:space="preserve">Revenue growth will be higher in the intervention group.</w:t>
      </w:r>
    </w:p>
    <w:p>
      <w:pPr>
        <w:numPr>
          <w:ilvl w:val="0"/>
          <w:numId w:val="1005"/>
        </w:numPr>
        <w:pStyle w:val="Compact"/>
      </w:pPr>
      <w:r>
        <w:t xml:space="preserve">Operational efficiency will improve, leading to cost savings.</w:t>
      </w:r>
    </w:p>
    <w:p>
      <w:pPr>
        <w:numPr>
          <w:ilvl w:val="0"/>
          <w:numId w:val="1005"/>
        </w:numPr>
        <w:pStyle w:val="Compact"/>
      </w:pPr>
      <w:r>
        <w:t xml:space="preserve">Employee satisfaction and productivity will increase.</w:t>
      </w:r>
    </w:p>
    <w:p>
      <w:pPr>
        <w:numPr>
          <w:ilvl w:val="0"/>
          <w:numId w:val="1005"/>
        </w:numPr>
        <w:pStyle w:val="Compact"/>
      </w:pPr>
      <w:r>
        <w:t xml:space="preserve">Businesses will report greater confidence in navigating the competitive landscape of Canada Toronto.</w:t>
      </w:r>
    </w:p>
    <w:p>
      <w:pPr>
        <w:pStyle w:val="FirstParagraph"/>
      </w:pPr>
      <w:r>
        <w:t xml:space="preserve">These outcomes will provide valuable insights into the role of Business Consultants in driving economic growth and resilience among SMEs in Canada Toronto.</w:t>
      </w:r>
    </w:p>
    <w:bookmarkEnd w:id="29"/>
    <w:bookmarkStart w:id="30" w:name="limitations"/>
    <w:p>
      <w:pPr>
        <w:pStyle w:val="Heading2"/>
      </w:pPr>
      <w:r>
        <w:t xml:space="preserve">6. Limitations</w:t>
      </w:r>
    </w:p>
    <w:p>
      <w:pPr>
        <w:pStyle w:val="FirstParagraph"/>
      </w:pPr>
      <w:r>
        <w:t xml:space="preserve">While this study aims to provide robust evidence, several limitations should be acknowledged:</w:t>
      </w:r>
    </w:p>
    <w:p>
      <w:pPr>
        <w:numPr>
          <w:ilvl w:val="0"/>
          <w:numId w:val="1006"/>
        </w:numPr>
        <w:pStyle w:val="Compact"/>
      </w:pPr>
      <w:r>
        <w:t xml:space="preserve">The study is limited to SMEs in Canada Toronto, which may affect the generalizability of findings to other regions.</w:t>
      </w:r>
    </w:p>
    <w:p>
      <w:pPr>
        <w:numPr>
          <w:ilvl w:val="0"/>
          <w:numId w:val="1006"/>
        </w:numPr>
        <w:pStyle w:val="Compact"/>
      </w:pPr>
      <w:r>
        <w:t xml:space="preserve">The effectiveness of Business Consultant interventions may vary based on the specific needs and characteristics of individual businesses.</w:t>
      </w:r>
    </w:p>
    <w:p>
      <w:pPr>
        <w:numPr>
          <w:ilvl w:val="0"/>
          <w:numId w:val="1006"/>
        </w:numPr>
        <w:pStyle w:val="Compact"/>
      </w:pPr>
      <w:r>
        <w:t xml:space="preserve">External factors, such as economic fluctuations or regulatory changes, may influence outcomes.</w:t>
      </w:r>
    </w:p>
    <w:p>
      <w:pPr>
        <w:pStyle w:val="FirstParagraph"/>
      </w:pPr>
      <w:r>
        <w:t xml:space="preserve">Despite these limitations, the study will contribute valuable knowledge to the field of business consulting and its impact on SMEs in Canada Toronto.</w:t>
      </w:r>
    </w:p>
    <w:bookmarkEnd w:id="30"/>
    <w:bookmarkStart w:id="31" w:name="conclusion"/>
    <w:p>
      <w:pPr>
        <w:pStyle w:val="Heading2"/>
      </w:pPr>
      <w:r>
        <w:t xml:space="preserve">7. Conclusion</w:t>
      </w:r>
    </w:p>
    <w:p>
      <w:pPr>
        <w:pStyle w:val="FirstParagraph"/>
      </w:pPr>
      <w:r>
        <w:t xml:space="preserve">This Experiment Protocol outlines a rigorous approach to evaluating the impact of Business Consultant interventions on SMEs in Canada Toronto. By employing a randomized controlled trial design and focusing on key performance indicators, the study aims to generate actionable insights that can inform best practices for Business Consultants and support the growth of SMEs in Canada Toronto. The findings will be disseminated through academic publications, industry reports, and stakeholder workshops to maximize their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Canada Toronto</dc:title>
  <dc:creator/>
  <dc:language>en</dc:language>
  <cp:keywords/>
  <dcterms:created xsi:type="dcterms:W3CDTF">2026-10-10T06:41:10Z</dcterms:created>
  <dcterms:modified xsi:type="dcterms:W3CDTF">2026-10-10T06:41:10Z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