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Canada</w:t>
      </w:r>
      <w:r>
        <w:t xml:space="preserve"> </w:t>
      </w:r>
      <w:r>
        <w:t xml:space="preserve">Vancouver</w:t>
      </w:r>
    </w:p>
    <w:bookmarkStart w:id="20" w:name="Xea5fb53e5e2d25686fafa5b489970f9e3095421"/>
    <w:p>
      <w:pPr>
        <w:pStyle w:val="Heading1"/>
      </w:pPr>
      <w:r>
        <w:t xml:space="preserve">Experiment Protocol: Business Consultant Efficacy in Canada Vancouver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Canada Vancouver</w:t>
      </w:r>
      <w:r>
        <w:br/>
      </w: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Business Consultant on organizational performance within the unique economic landscape of Canada Vancouver. Vancouver is a dynamic hub for technology, real estate, and international trade, presenting distinct challenges and opportunities for businesses. The role of a Business Consultant in this context is critical for navigating regulatory frameworks, market entry strategies, and operational efficiencies.</w:t>
      </w:r>
    </w:p>
    <w:p>
      <w:pPr>
        <w:pStyle w:val="BodyText"/>
      </w:pPr>
      <w:r>
        <w:t xml:space="preserve">The objective of this experiment is to empirically evaluate the value proposition of engaging a Business Consultant compared to internal management strategies. By isolating variables and measuring outcomes, this protocol aims to provide data-driven insights into the effectiveness of external consulting services in the Vancouver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a Business Consultant on key performance indicators (KPIs) such as revenue growth, cost reduction, and operational efficiency.</w:t>
      </w:r>
    </w:p>
    <w:p>
      <w:pPr>
        <w:numPr>
          <w:ilvl w:val="0"/>
          <w:numId w:val="1001"/>
        </w:numPr>
        <w:pStyle w:val="Compact"/>
      </w:pPr>
      <w:r>
        <w:t xml:space="preserve">To assess the adaptability of consulting strategies to the specific cultural and regulatory environment of Canada Vancouver.</w:t>
      </w:r>
    </w:p>
    <w:p>
      <w:pPr>
        <w:numPr>
          <w:ilvl w:val="0"/>
          <w:numId w:val="1001"/>
        </w:numPr>
        <w:pStyle w:val="Compact"/>
      </w:pPr>
      <w:r>
        <w:t xml:space="preserve">To determine the return on investment (ROI) for businesses engaging a Business Consultant in this region.</w:t>
      </w:r>
    </w:p>
    <w:p>
      <w:pPr>
        <w:numPr>
          <w:ilvl w:val="0"/>
          <w:numId w:val="1001"/>
        </w:numPr>
        <w:pStyle w:val="Compact"/>
      </w:pPr>
      <w:r>
        <w:t xml:space="preserve">To identify best practices for collaboration between local enterprises and external consultants.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businesses in Canada Vancouver will be randomly assigned to one of two groups:</w:t>
      </w:r>
    </w:p>
    <w:p>
      <w:pPr>
        <w:numPr>
          <w:ilvl w:val="0"/>
          <w:numId w:val="1002"/>
        </w:numPr>
        <w:pStyle w:val="Compact"/>
      </w:pPr>
      <w:r>
        <w:rPr>
          <w:bCs/>
          <w:b/>
        </w:rPr>
        <w:t xml:space="preserve">Control Group:</w:t>
      </w:r>
      <w:r>
        <w:t xml:space="preserve"> </w:t>
      </w:r>
      <w:r>
        <w:t xml:space="preserve">Businesses that continue with their existing internal management strategies without external consulting support.</w:t>
      </w:r>
    </w:p>
    <w:p>
      <w:pPr>
        <w:numPr>
          <w:ilvl w:val="0"/>
          <w:numId w:val="1002"/>
        </w:numPr>
        <w:pStyle w:val="Compact"/>
      </w:pPr>
      <w:r>
        <w:rPr>
          <w:bCs/>
          <w:b/>
        </w:rPr>
        <w:t xml:space="preserve">Experimental Group:</w:t>
      </w:r>
      <w:r>
        <w:t xml:space="preserve"> </w:t>
      </w:r>
      <w:r>
        <w:t xml:space="preserve">Businesses that engage a qualified Business Consultant for a defined period to implement strategic recommendations.</w:t>
      </w:r>
    </w:p>
    <w:p>
      <w:pPr>
        <w:pStyle w:val="FirstParagraph"/>
      </w:pPr>
      <w:r>
        <w:t xml:space="preserve">The randomization process will ensure that both groups are comparable in terms of size, industry sector, and initial performance metrics.</w:t>
      </w:r>
    </w:p>
    <w:bookmarkEnd w:id="23"/>
    <w:bookmarkStart w:id="24" w:name="participant-selection"/>
    <w:p>
      <w:pPr>
        <w:pStyle w:val="Heading3"/>
      </w:pPr>
      <w:r>
        <w:t xml:space="preserve">3.2 Participant Selection</w:t>
      </w:r>
    </w:p>
    <w:p>
      <w:pPr>
        <w:pStyle w:val="FirstParagraph"/>
      </w:pPr>
      <w:r>
        <w:t xml:space="preserve">Participants will be small to medium-sized enterprises (SMEs) located in Canada Vancouver. Eligibility criteria include:</w:t>
      </w:r>
    </w:p>
    <w:p>
      <w:pPr>
        <w:numPr>
          <w:ilvl w:val="0"/>
          <w:numId w:val="1003"/>
        </w:numPr>
        <w:pStyle w:val="Compact"/>
      </w:pPr>
      <w:r>
        <w:t xml:space="preserve">Operating in Vancouver for at least two years.</w:t>
      </w:r>
    </w:p>
    <w:p>
      <w:pPr>
        <w:numPr>
          <w:ilvl w:val="0"/>
          <w:numId w:val="1003"/>
        </w:numPr>
        <w:pStyle w:val="Compact"/>
      </w:pPr>
      <w:r>
        <w:t xml:space="preserve">Having a minimum of 10 employees.</w:t>
      </w:r>
    </w:p>
    <w:p>
      <w:pPr>
        <w:numPr>
          <w:ilvl w:val="0"/>
          <w:numId w:val="1003"/>
        </w:numPr>
        <w:pStyle w:val="Compact"/>
      </w:pPr>
      <w:r>
        <w:t xml:space="preserve">Willingness to share financial and operational data for the duration of the experiment.</w:t>
      </w:r>
    </w:p>
    <w:p>
      <w:pPr>
        <w:numPr>
          <w:ilvl w:val="0"/>
          <w:numId w:val="1003"/>
        </w:numPr>
        <w:pStyle w:val="Compact"/>
      </w:pPr>
      <w:r>
        <w:t xml:space="preserve">No prior engagement with a Business Consultant in the last 12 months.</w:t>
      </w:r>
    </w:p>
    <w:p>
      <w:pPr>
        <w:pStyle w:val="FirstParagraph"/>
      </w:pPr>
      <w:r>
        <w:t xml:space="preserve">A total of 40 businesses will be selected, with 20 in each group. Industries will be diversified to include technology, retail, and professional services to ensure broad applicability of the findings.</w:t>
      </w:r>
    </w:p>
    <w:bookmarkEnd w:id="24"/>
    <w:bookmarkStart w:id="25" w:name="intervention"/>
    <w:p>
      <w:pPr>
        <w:pStyle w:val="Heading3"/>
      </w:pPr>
      <w:r>
        <w:t xml:space="preserve">3.3 Intervention</w:t>
      </w:r>
    </w:p>
    <w:p>
      <w:pPr>
        <w:pStyle w:val="FirstParagraph"/>
      </w:pPr>
      <w:r>
        <w:t xml:space="preserve">For the Experimental Group, a Business Consultant will be assigned to each participating business. The consultant will:</w:t>
      </w:r>
    </w:p>
    <w:p>
      <w:pPr>
        <w:numPr>
          <w:ilvl w:val="0"/>
          <w:numId w:val="1004"/>
        </w:numPr>
        <w:pStyle w:val="Compact"/>
      </w:pPr>
      <w:r>
        <w:t xml:space="preserve">Conduct a comprehensive diagnostic assessment of the business operations.</w:t>
      </w:r>
    </w:p>
    <w:p>
      <w:pPr>
        <w:numPr>
          <w:ilvl w:val="0"/>
          <w:numId w:val="1004"/>
        </w:numPr>
        <w:pStyle w:val="Compact"/>
      </w:pPr>
      <w:r>
        <w:t xml:space="preserve">Develop a tailored strategic plan addressing specific challenges and opportunities in the Canada Vancouver market.</w:t>
      </w:r>
    </w:p>
    <w:p>
      <w:pPr>
        <w:numPr>
          <w:ilvl w:val="0"/>
          <w:numId w:val="1004"/>
        </w:numPr>
        <w:pStyle w:val="Compact"/>
      </w:pPr>
      <w:r>
        <w:t xml:space="preserve">Implement recommended changes over a six-month period.</w:t>
      </w:r>
    </w:p>
    <w:p>
      <w:pPr>
        <w:numPr>
          <w:ilvl w:val="0"/>
          <w:numId w:val="1004"/>
        </w:numPr>
        <w:pStyle w:val="Compact"/>
      </w:pPr>
      <w:r>
        <w:t xml:space="preserve">Provide ongoing support and monitoring to ensure adherence to the plan.</w:t>
      </w:r>
    </w:p>
    <w:p>
      <w:pPr>
        <w:pStyle w:val="FirstParagraph"/>
      </w:pPr>
      <w:r>
        <w:t xml:space="preserve">The Control Group will receive no external intervention but will be encouraged to maintain their current practices.</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(before the intervention), mid-point (three months), and end-point (six months). Key metrics include:</w:t>
      </w:r>
    </w:p>
    <w:p>
      <w:pPr>
        <w:numPr>
          <w:ilvl w:val="0"/>
          <w:numId w:val="1005"/>
        </w:numPr>
        <w:pStyle w:val="Compact"/>
      </w:pPr>
      <w:r>
        <w:rPr>
          <w:bCs/>
          <w:b/>
        </w:rPr>
        <w:t xml:space="preserve">Financial Performance:</w:t>
      </w:r>
      <w:r>
        <w:t xml:space="preserve"> </w:t>
      </w:r>
      <w:r>
        <w:t xml:space="preserve">Revenue, profit margins, and cost savings.</w:t>
      </w:r>
    </w:p>
    <w:p>
      <w:pPr>
        <w:numPr>
          <w:ilvl w:val="0"/>
          <w:numId w:val="1005"/>
        </w:numPr>
        <w:pStyle w:val="Compact"/>
      </w:pPr>
      <w:r>
        <w:rPr>
          <w:bCs/>
          <w:b/>
        </w:rPr>
        <w:t xml:space="preserve">Operational Efficiency:</w:t>
      </w:r>
      <w:r>
        <w:t xml:space="preserve"> </w:t>
      </w:r>
      <w:r>
        <w:t xml:space="preserve">Process cycle times, resource utilization, and error rates.</w:t>
      </w:r>
    </w:p>
    <w:p>
      <w:pPr>
        <w:numPr>
          <w:ilvl w:val="0"/>
          <w:numId w:val="1005"/>
        </w:numPr>
        <w:pStyle w:val="Compact"/>
      </w:pPr>
      <w:r>
        <w:rPr>
          <w:bCs/>
          <w:b/>
        </w:rPr>
        <w:t xml:space="preserve">Employee Satisfaction:</w:t>
      </w:r>
      <w:r>
        <w:t xml:space="preserve"> </w:t>
      </w:r>
      <w:r>
        <w:t xml:space="preserve">Measured through standardized surveys.</w:t>
      </w:r>
    </w:p>
    <w:p>
      <w:pPr>
        <w:numPr>
          <w:ilvl w:val="0"/>
          <w:numId w:val="1005"/>
        </w:numPr>
        <w:pStyle w:val="Compact"/>
      </w:pPr>
      <w:r>
        <w:rPr>
          <w:bCs/>
          <w:b/>
        </w:rPr>
        <w:t xml:space="preserve">Market Position:</w:t>
      </w:r>
      <w:r>
        <w:t xml:space="preserve"> </w:t>
      </w:r>
      <w:r>
        <w:t xml:space="preserve">Customer acquisition rates and market share changes.</w:t>
      </w:r>
    </w:p>
    <w:p>
      <w:pPr>
        <w:pStyle w:val="FirstParagraph"/>
      </w:pPr>
      <w:r>
        <w:t xml:space="preserve">All data will be anonymized to protect participant confidentiality and comply with privacy regulations in Canada Vancouver.</w:t>
      </w:r>
    </w:p>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subjects and business entities. Key considerations include:</w:t>
      </w:r>
    </w:p>
    <w:p>
      <w:pPr>
        <w:numPr>
          <w:ilvl w:val="0"/>
          <w:numId w:val="1006"/>
        </w:numPr>
        <w:pStyle w:val="Compact"/>
      </w:pPr>
      <w:r>
        <w:rPr>
          <w:bCs/>
          <w:b/>
        </w:rPr>
        <w:t xml:space="preserve">Informed Consent:</w:t>
      </w:r>
      <w:r>
        <w:t xml:space="preserve"> </w:t>
      </w:r>
      <w:r>
        <w:t xml:space="preserve">All participating businesses will provide written consent after being fully informed of the experiment's purpose, procedures, and potential risks.</w:t>
      </w:r>
    </w:p>
    <w:p>
      <w:pPr>
        <w:numPr>
          <w:ilvl w:val="0"/>
          <w:numId w:val="1006"/>
        </w:numPr>
        <w:pStyle w:val="Compact"/>
      </w:pPr>
      <w:r>
        <w:rPr>
          <w:bCs/>
          <w:b/>
        </w:rPr>
        <w:t xml:space="preserve">Confidentiality:</w:t>
      </w:r>
      <w:r>
        <w:t xml:space="preserve"> </w:t>
      </w:r>
      <w:r>
        <w:t xml:space="preserve">Data will be stored securely and accessed only by authorized personnel.</w:t>
      </w:r>
    </w:p>
    <w:p>
      <w:pPr>
        <w:numPr>
          <w:ilvl w:val="0"/>
          <w:numId w:val="1006"/>
        </w:numPr>
        <w:pStyle w:val="Compact"/>
      </w:pPr>
      <w:r>
        <w:rPr>
          <w:bCs/>
          <w:b/>
        </w:rPr>
        <w:t xml:space="preserve">Voluntary Participation:</w:t>
      </w:r>
      <w:r>
        <w:t xml:space="preserve"> </w:t>
      </w:r>
      <w:r>
        <w:t xml:space="preserve">Businesses may withdraw from the experiment at any time without penalty.</w:t>
      </w:r>
    </w:p>
    <w:p>
      <w:pPr>
        <w:numPr>
          <w:ilvl w:val="0"/>
          <w:numId w:val="1006"/>
        </w:numPr>
        <w:pStyle w:val="Compact"/>
      </w:pPr>
      <w:r>
        <w:rPr>
          <w:bCs/>
          <w:b/>
        </w:rPr>
        <w:t xml:space="preserve">Regulatory Compliance:</w:t>
      </w:r>
      <w:r>
        <w:t xml:space="preserve"> </w:t>
      </w:r>
      <w:r>
        <w:t xml:space="preserve">The experiment will comply with all relevant laws and regulations in Canada Vancouver, including those related to data protection and business practices.</w:t>
      </w:r>
    </w:p>
    <w:bookmarkEnd w:id="28"/>
    <w:bookmarkStart w:id="29" w:name="analysis-plan"/>
    <w:p>
      <w:pPr>
        <w:pStyle w:val="Heading2"/>
      </w:pPr>
      <w:r>
        <w:t xml:space="preserve">6. Analysis Plan</w:t>
      </w:r>
    </w:p>
    <w:p>
      <w:pPr>
        <w:pStyle w:val="FirstParagraph"/>
      </w:pPr>
      <w:r>
        <w:t xml:space="preserve">Data analysis will be conducted using statistical software to compare outcomes between the Control and Experimental groups. Techniques will include:</w:t>
      </w:r>
    </w:p>
    <w:p>
      <w:pPr>
        <w:numPr>
          <w:ilvl w:val="0"/>
          <w:numId w:val="1007"/>
        </w:numPr>
        <w:pStyle w:val="Compact"/>
      </w:pPr>
      <w:r>
        <w:rPr>
          <w:bCs/>
          <w:b/>
        </w:rPr>
        <w:t xml:space="preserve">T-tests:</w:t>
      </w:r>
      <w:r>
        <w:t xml:space="preserve"> </w:t>
      </w:r>
      <w:r>
        <w:t xml:space="preserve">To compare mean differences in KPIs between groups.</w:t>
      </w:r>
    </w:p>
    <w:p>
      <w:pPr>
        <w:numPr>
          <w:ilvl w:val="0"/>
          <w:numId w:val="1007"/>
        </w:numPr>
        <w:pStyle w:val="Compact"/>
      </w:pPr>
      <w:r>
        <w:rPr>
          <w:bCs/>
          <w:b/>
        </w:rPr>
        <w:t xml:space="preserve">Regression Analysis:</w:t>
      </w:r>
      <w:r>
        <w:t xml:space="preserve"> </w:t>
      </w:r>
      <w:r>
        <w:t xml:space="preserve">To control for confounding variables and assess the impact of the Business Consultant intervention.</w:t>
      </w:r>
    </w:p>
    <w:p>
      <w:pPr>
        <w:numPr>
          <w:ilvl w:val="0"/>
          <w:numId w:val="1007"/>
        </w:numPr>
        <w:pStyle w:val="Compact"/>
      </w:pPr>
      <w:r>
        <w:rPr>
          <w:bCs/>
          <w:b/>
        </w:rPr>
        <w:t xml:space="preserve">Qualitative Analysis:</w:t>
      </w:r>
      <w:r>
        <w:t xml:space="preserve"> </w:t>
      </w:r>
      <w:r>
        <w:t xml:space="preserve">To interpret feedback from business owners and employees regarding the consulting experience.</w:t>
      </w:r>
    </w:p>
    <w:p>
      <w:pPr>
        <w:pStyle w:val="FirstParagraph"/>
      </w:pPr>
      <w:r>
        <w:t xml:space="preserve">Results will be interpreted in the context of the Canada Vancouver business environment to ensure relevance and applicability.</w:t>
      </w:r>
    </w:p>
    <w:bookmarkEnd w:id="29"/>
    <w:bookmarkStart w:id="30" w:name="timeline"/>
    <w:p>
      <w:pPr>
        <w:pStyle w:val="Heading2"/>
      </w:pPr>
      <w:r>
        <w:t xml:space="preserve">7. Timeline</w:t>
      </w:r>
    </w:p>
    <w:p>
      <w:pPr>
        <w:pStyle w:val="FirstParagraph"/>
      </w:pPr>
      <w:r>
        <w:t xml:space="preserve">The experiment will be conducted over a period of eight months:</w:t>
      </w:r>
    </w:p>
    <w:p>
      <w:pPr>
        <w:numPr>
          <w:ilvl w:val="0"/>
          <w:numId w:val="1008"/>
        </w:numPr>
        <w:pStyle w:val="Compact"/>
      </w:pPr>
      <w:r>
        <w:rPr>
          <w:bCs/>
          <w:b/>
        </w:rPr>
        <w:t xml:space="preserve">Months 1-2:</w:t>
      </w:r>
      <w:r>
        <w:t xml:space="preserve"> </w:t>
      </w:r>
      <w:r>
        <w:t xml:space="preserve">Recruitment and randomization of participants.</w:t>
      </w:r>
    </w:p>
    <w:p>
      <w:pPr>
        <w:numPr>
          <w:ilvl w:val="0"/>
          <w:numId w:val="1008"/>
        </w:numPr>
        <w:pStyle w:val="Compact"/>
      </w:pPr>
      <w:r>
        <w:rPr>
          <w:bCs/>
          <w:b/>
        </w:rPr>
        <w:t xml:space="preserve">Month 3:</w:t>
      </w:r>
      <w:r>
        <w:t xml:space="preserve"> </w:t>
      </w:r>
      <w:r>
        <w:t xml:space="preserve">Baseline data collection.</w:t>
      </w:r>
    </w:p>
    <w:p>
      <w:pPr>
        <w:numPr>
          <w:ilvl w:val="0"/>
          <w:numId w:val="1008"/>
        </w:numPr>
        <w:pStyle w:val="Compact"/>
      </w:pPr>
      <w:r>
        <w:rPr>
          <w:bCs/>
          <w:b/>
        </w:rPr>
        <w:t xml:space="preserve">Months 4-9:</w:t>
      </w:r>
      <w:r>
        <w:t xml:space="preserve"> </w:t>
      </w:r>
      <w:r>
        <w:t xml:space="preserve">Implementation of the intervention and mid-point data collection.</w:t>
      </w:r>
    </w:p>
    <w:p>
      <w:pPr>
        <w:numPr>
          <w:ilvl w:val="0"/>
          <w:numId w:val="1008"/>
        </w:numPr>
        <w:pStyle w:val="Compact"/>
      </w:pPr>
      <w:r>
        <w:rPr>
          <w:bCs/>
          <w:b/>
        </w:rPr>
        <w:t xml:space="preserve">Month 10:</w:t>
      </w:r>
      <w:r>
        <w:t xml:space="preserve"> </w:t>
      </w:r>
      <w:r>
        <w:t xml:space="preserve">End-point data collection.</w:t>
      </w:r>
    </w:p>
    <w:p>
      <w:pPr>
        <w:numPr>
          <w:ilvl w:val="0"/>
          <w:numId w:val="1008"/>
        </w:numPr>
        <w:pStyle w:val="Compact"/>
      </w:pPr>
      <w:r>
        <w:rPr>
          <w:bCs/>
          <w:b/>
        </w:rPr>
        <w:t xml:space="preserve">Months 11-12:</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of a Business Consultant in enhancing organizational performance within Canada Vancouver. By rigorously measuring outcomes and adhering to ethical standards, this study aims to contribute valuable insights to the field of business consulting and support evidence-based decision-making for enterprises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Canada Vancouver</dc:title>
  <dc:creator/>
  <dc:language>en</dc:language>
  <cp:keywords/>
  <dcterms:created xsi:type="dcterms:W3CDTF">2026-10-10T07:23:12Z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