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China</w:t>
      </w:r>
      <w:r>
        <w:t xml:space="preserve"> </w:t>
      </w:r>
      <w:r>
        <w:t xml:space="preserve">Beijing</w:t>
      </w:r>
    </w:p>
    <w:bookmarkStart w:id="31" w:name="X3e04bda235ad50574f53b43fecdda587e8b8892"/>
    <w:p>
      <w:pPr>
        <w:pStyle w:val="Heading1"/>
      </w:pPr>
      <w:r>
        <w:t xml:space="preserve">Experiment Protocol: Strategic Impact of Business Consultant Interventions in China Beijing</w:t>
      </w:r>
    </w:p>
    <w:p>
      <w:pPr>
        <w:pStyle w:val="FirstParagraph"/>
      </w:pPr>
      <w:r>
        <w:rPr>
          <w:bCs/>
          <w:b/>
        </w:rPr>
        <w:t xml:space="preserve">Protocol ID:</w:t>
      </w:r>
      <w:r>
        <w:t xml:space="preserve"> </w:t>
      </w:r>
      <w:r>
        <w:t xml:space="preserve">CN-BJ-BC-2024-001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Beijing, People's Republic of China</w:t>
      </w:r>
    </w:p>
    <w:p>
      <w:pPr>
        <w:pStyle w:val="BodyText"/>
      </w:pPr>
      <w:r>
        <w:rPr>
          <w:bCs/>
          <w:b/>
        </w:rPr>
        <w:t xml:space="preserve">Subject:</w:t>
      </w:r>
      <w:r>
        <w:t xml:space="preserve"> </w:t>
      </w:r>
      <w:r>
        <w:t xml:space="preserve">Business Consultant Performance and Market Adaptation</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economic landscape of China Beijing represents one of the most dynamic, complex, and rapidly evolving markets in the global economy. As the political and technological capital of China, Beijing hosts a unique convergence of state-owned enterprises (SOEs), multinational corporations (MNCs), and high-growth technology startups. Within this environment, the role of the Business Consultant is critical yet highly variable in terms of efficacy.</w:t>
      </w:r>
    </w:p>
    <w:p>
      <w:pPr>
        <w:pStyle w:val="BodyText"/>
      </w:pPr>
      <w:r>
        <w:t xml:space="preserve">This Experiment Protocol outlines a rigorous methodology to evaluate the tangible impact of Business Consultant interventions on organizational performance within Beijing. The study aims to move beyond anecdotal evidence and quantify the value added by consultants who navigate the specific regulatory, cultural, and operational nuances of the Beijing market.</w:t>
      </w:r>
    </w:p>
    <w:bookmarkEnd w:id="20"/>
    <w:bookmarkStart w:id="21" w:name="objectives"/>
    <w:p>
      <w:pPr>
        <w:pStyle w:val="Heading2"/>
      </w:pPr>
      <w:r>
        <w:t xml:space="preserve">2. Objectives</w:t>
      </w:r>
    </w:p>
    <w:p>
      <w:pPr>
        <w:pStyle w:val="FirstParagraph"/>
      </w:pPr>
      <w:r>
        <w:t xml:space="preserve">The primary objective of this experiment is to determine the correlation between specific consulting methodologies and key performance indicators (KPIs) for firms operating in Beijing. Secondary objectives include:</w:t>
      </w:r>
    </w:p>
    <w:p>
      <w:pPr>
        <w:numPr>
          <w:ilvl w:val="0"/>
          <w:numId w:val="1001"/>
        </w:numPr>
        <w:pStyle w:val="Compact"/>
      </w:pPr>
      <w:r>
        <w:t xml:space="preserve">To assess the effectiveness of localized vs. globalized consulting strategies in the Beijing context.</w:t>
      </w:r>
    </w:p>
    <w:p>
      <w:pPr>
        <w:numPr>
          <w:ilvl w:val="0"/>
          <w:numId w:val="1001"/>
        </w:numPr>
        <w:pStyle w:val="Compact"/>
      </w:pPr>
      <w:r>
        <w:t xml:space="preserve">To measure the impact of consultant-led initiatives on regulatory compliance and government relations (GR) outcomes.</w:t>
      </w:r>
    </w:p>
    <w:p>
      <w:pPr>
        <w:numPr>
          <w:ilvl w:val="0"/>
          <w:numId w:val="1001"/>
        </w:numPr>
        <w:pStyle w:val="Compact"/>
      </w:pPr>
      <w:r>
        <w:t xml:space="preserve">To evaluate the speed of implementation of strategic recommendations in the Beijing business ecosystem.</w:t>
      </w:r>
    </w:p>
    <w:bookmarkEnd w:id="21"/>
    <w:bookmarkStart w:id="22" w:name="scope-and-study-population"/>
    <w:p>
      <w:pPr>
        <w:pStyle w:val="Heading2"/>
      </w:pPr>
      <w:r>
        <w:t xml:space="preserve">3. Scope and Study Population</w:t>
      </w:r>
    </w:p>
    <w:p>
      <w:pPr>
        <w:pStyle w:val="FirstParagraph"/>
      </w:pPr>
      <w:r>
        <w:t xml:space="preserve">The experiment will be conducted exclusively within the administrative boundaries of Beijing, with a focus on key economic zones such as Zhongguancun (technology), CBD (finance and services), and Yizhuang (manufacturing and biotech).</w:t>
      </w:r>
    </w:p>
    <w:p>
      <w:pPr>
        <w:pStyle w:val="BodyText"/>
      </w:pPr>
      <w:r>
        <w:rPr>
          <w:bCs/>
          <w:b/>
        </w:rPr>
        <w:t xml:space="preserve">Target Population:</w:t>
      </w:r>
      <w:r>
        <w:t xml:space="preserve"> </w:t>
      </w:r>
      <w:r>
        <w:t xml:space="preserve">The study will recruit 60 mid-to-large-sized enterprises operating in Beijing. These will be divided into two cohorts:</w:t>
      </w:r>
    </w:p>
    <w:p>
      <w:pPr>
        <w:numPr>
          <w:ilvl w:val="0"/>
          <w:numId w:val="1002"/>
        </w:numPr>
        <w:pStyle w:val="Compact"/>
      </w:pPr>
      <w:r>
        <w:rPr>
          <w:bCs/>
          <w:b/>
        </w:rPr>
        <w:t xml:space="preserve">Control Group (n=30):</w:t>
      </w:r>
      <w:r>
        <w:t xml:space="preserve"> </w:t>
      </w:r>
      <w:r>
        <w:t xml:space="preserve">Companies managing strategic transitions using internal resources only.</w:t>
      </w:r>
    </w:p>
    <w:p>
      <w:pPr>
        <w:numPr>
          <w:ilvl w:val="0"/>
          <w:numId w:val="1002"/>
        </w:numPr>
        <w:pStyle w:val="Compact"/>
      </w:pPr>
      <w:r>
        <w:rPr>
          <w:bCs/>
          <w:b/>
        </w:rPr>
        <w:t xml:space="preserve">Experimental Group (n=30):</w:t>
      </w:r>
      <w:r>
        <w:t xml:space="preserve"> </w:t>
      </w:r>
      <w:r>
        <w:t xml:space="preserve">Companies engaging accredited Business Consultants for the same strategic transitions.</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This study utilizes a quasi-experimental design with a pre-test/post-test control group structure. The duration of the experiment is set at 12 months to account for the typical fiscal and planning cycles in Chinese business operations.</w:t>
      </w:r>
    </w:p>
    <w:bookmarkEnd w:id="23"/>
    <w:bookmarkStart w:id="24" w:name="consultant-selection-criteria"/>
    <w:p>
      <w:pPr>
        <w:pStyle w:val="Heading3"/>
      </w:pPr>
      <w:r>
        <w:t xml:space="preserve">4.2. Consultant Selection Criteria</w:t>
      </w:r>
    </w:p>
    <w:p>
      <w:pPr>
        <w:pStyle w:val="FirstParagraph"/>
      </w:pPr>
      <w:r>
        <w:t xml:space="preserve">To ensure validity, all Business Consultants assigned to the Experimental Group must meet the following criteria:</w:t>
      </w:r>
    </w:p>
    <w:p>
      <w:pPr>
        <w:numPr>
          <w:ilvl w:val="0"/>
          <w:numId w:val="1003"/>
        </w:numPr>
        <w:pStyle w:val="Compact"/>
      </w:pPr>
      <w:r>
        <w:t xml:space="preserve">Minimum of 5 years of experience operating specifically within the Beijing market.</w:t>
      </w:r>
    </w:p>
    <w:p>
      <w:pPr>
        <w:numPr>
          <w:ilvl w:val="0"/>
          <w:numId w:val="1003"/>
        </w:numPr>
        <w:pStyle w:val="Compact"/>
      </w:pPr>
      <w:r>
        <w:t xml:space="preserve">Demonstrated proficiency in Mandarin Chinese and understanding of local business etiquette (Guanxi).</w:t>
      </w:r>
    </w:p>
    <w:p>
      <w:pPr>
        <w:numPr>
          <w:ilvl w:val="0"/>
          <w:numId w:val="1003"/>
        </w:numPr>
        <w:pStyle w:val="Compact"/>
      </w:pPr>
      <w:r>
        <w:t xml:space="preserve">Specialization in the specific industry sector of the client firm.</w:t>
      </w:r>
    </w:p>
    <w:bookmarkEnd w:id="24"/>
    <w:bookmarkStart w:id="25" w:name="intervention-protocol"/>
    <w:p>
      <w:pPr>
        <w:pStyle w:val="Heading3"/>
      </w:pPr>
      <w:r>
        <w:t xml:space="preserve">4.3. Intervention Protocol</w:t>
      </w:r>
    </w:p>
    <w:p>
      <w:pPr>
        <w:pStyle w:val="FirstParagraph"/>
      </w:pPr>
      <w:r>
        <w:t xml:space="preserve">The Business Consultant intervention will follow a standardized three-phase approach:</w:t>
      </w:r>
    </w:p>
    <w:p>
      <w:pPr>
        <w:numPr>
          <w:ilvl w:val="0"/>
          <w:numId w:val="1004"/>
        </w:numPr>
        <w:pStyle w:val="Compact"/>
      </w:pPr>
      <w:r>
        <w:rPr>
          <w:bCs/>
          <w:b/>
        </w:rPr>
        <w:t xml:space="preserve">Diagnostic Phase (Months 1-2):</w:t>
      </w:r>
      <w:r>
        <w:t xml:space="preserve"> </w:t>
      </w:r>
      <w:r>
        <w:t xml:space="preserve">Comprehensive audit of current operations, regulatory standing, and market positioning within Beijing.</w:t>
      </w:r>
    </w:p>
    <w:p>
      <w:pPr>
        <w:numPr>
          <w:ilvl w:val="0"/>
          <w:numId w:val="1004"/>
        </w:numPr>
        <w:pStyle w:val="Compact"/>
      </w:pPr>
      <w:r>
        <w:rPr>
          <w:bCs/>
          <w:b/>
        </w:rPr>
        <w:t xml:space="preserve">Strategic Formulation (Months 3-4):</w:t>
      </w:r>
      <w:r>
        <w:t xml:space="preserve"> </w:t>
      </w:r>
      <w:r>
        <w:t xml:space="preserve">Development of tailored strategies addressing local market dynamics, supply chain optimization, and talent acquisition.</w:t>
      </w:r>
    </w:p>
    <w:p>
      <w:pPr>
        <w:numPr>
          <w:ilvl w:val="0"/>
          <w:numId w:val="1004"/>
        </w:numPr>
        <w:pStyle w:val="Compact"/>
      </w:pPr>
      <w:r>
        <w:rPr>
          <w:bCs/>
          <w:b/>
        </w:rPr>
        <w:t xml:space="preserve">Implementation Support (Months 5-12):</w:t>
      </w:r>
      <w:r>
        <w:t xml:space="preserve"> </w:t>
      </w:r>
      <w:r>
        <w:t xml:space="preserve">Active oversight of strategy execution, including stakeholder management with local government bodies.</w:t>
      </w:r>
    </w:p>
    <w:bookmarkEnd w:id="25"/>
    <w:bookmarkEnd w:id="26"/>
    <w:bookmarkStart w:id="27" w:name="data-collection-and-metrics"/>
    <w:p>
      <w:pPr>
        <w:pStyle w:val="Heading2"/>
      </w:pPr>
      <w:r>
        <w:t xml:space="preserve">5. Data Collection and Metrics</w:t>
      </w:r>
    </w:p>
    <w:p>
      <w:pPr>
        <w:pStyle w:val="FirstParagraph"/>
      </w:pPr>
      <w:r>
        <w:t xml:space="preserve">Data will be collected quarterly using a mixed-methods approach. Quantitative data will be sourced from financial reports and operational dashboards, while qualitative data will be gathered through structured interviews with C-suite executives.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w:t>
            </w:r>
          </w:p>
        </w:tc>
        <w:tc>
          <w:tcPr/>
          <w:p>
            <w:pPr>
              <w:pStyle w:val="Compact"/>
              <w:jc w:val="left"/>
            </w:pPr>
            <w:r>
              <w:t xml:space="preserve">Measurement Tool</w:t>
            </w:r>
          </w:p>
        </w:tc>
      </w:tr>
      <w:tr>
        <w:tc>
          <w:tcPr/>
          <w:p>
            <w:pPr>
              <w:pStyle w:val="Compact"/>
              <w:jc w:val="left"/>
            </w:pPr>
            <w:r>
              <w:t xml:space="preserve">Financial Performance</w:t>
            </w:r>
          </w:p>
        </w:tc>
        <w:tc>
          <w:tcPr/>
          <w:p>
            <w:pPr>
              <w:pStyle w:val="Compact"/>
              <w:jc w:val="left"/>
            </w:pPr>
            <w:r>
              <w:t xml:space="preserve">Revenue Growth Rate (YoY)</w:t>
            </w:r>
          </w:p>
        </w:tc>
        <w:tc>
          <w:tcPr/>
          <w:p>
            <w:pPr>
              <w:pStyle w:val="Compact"/>
              <w:jc w:val="left"/>
            </w:pPr>
            <w:r>
              <w:t xml:space="preserve">Financial Statements</w:t>
            </w:r>
          </w:p>
        </w:tc>
      </w:tr>
      <w:tr>
        <w:tc>
          <w:tcPr/>
          <w:p>
            <w:pPr>
              <w:pStyle w:val="Compact"/>
              <w:jc w:val="left"/>
            </w:pPr>
            <w:r>
              <w:t xml:space="preserve">Operational Efficiency</w:t>
            </w:r>
          </w:p>
        </w:tc>
        <w:tc>
          <w:tcPr/>
          <w:p>
            <w:pPr>
              <w:pStyle w:val="Compact"/>
              <w:jc w:val="left"/>
            </w:pPr>
            <w:r>
              <w:t xml:space="preserve">Cost Reduction Percentage</w:t>
            </w:r>
          </w:p>
        </w:tc>
        <w:tc>
          <w:tcPr/>
          <w:p>
            <w:pPr>
              <w:pStyle w:val="Compact"/>
              <w:jc w:val="left"/>
            </w:pPr>
            <w:r>
              <w:t xml:space="preserve">Operational Audits</w:t>
            </w:r>
          </w:p>
        </w:tc>
      </w:tr>
      <w:tr>
        <w:tc>
          <w:tcPr/>
          <w:p>
            <w:pPr>
              <w:pStyle w:val="Compact"/>
              <w:jc w:val="left"/>
            </w:pPr>
            <w:r>
              <w:t xml:space="preserve">Market Adaptation</w:t>
            </w:r>
          </w:p>
        </w:tc>
        <w:tc>
          <w:tcPr/>
          <w:p>
            <w:pPr>
              <w:pStyle w:val="Compact"/>
              <w:jc w:val="left"/>
            </w:pPr>
            <w:r>
              <w:t xml:space="preserve">Time-to-Market for New Products</w:t>
            </w:r>
          </w:p>
        </w:tc>
        <w:tc>
          <w:tcPr/>
          <w:p>
            <w:pPr>
              <w:pStyle w:val="Compact"/>
              <w:jc w:val="left"/>
            </w:pPr>
            <w:r>
              <w:t xml:space="preserve">Project Management Logs</w:t>
            </w:r>
          </w:p>
        </w:tc>
      </w:tr>
      <w:tr>
        <w:tc>
          <w:tcPr/>
          <w:p>
            <w:pPr>
              <w:pStyle w:val="Compact"/>
              <w:jc w:val="left"/>
            </w:pPr>
            <w:r>
              <w:t xml:space="preserve">Regulatory Compliance</w:t>
            </w:r>
          </w:p>
        </w:tc>
        <w:tc>
          <w:tcPr/>
          <w:p>
            <w:pPr>
              <w:pStyle w:val="Compact"/>
              <w:jc w:val="left"/>
            </w:pPr>
            <w:r>
              <w:t xml:space="preserve">Number of Compliance Incidents</w:t>
            </w:r>
          </w:p>
        </w:tc>
        <w:tc>
          <w:tcPr/>
          <w:p>
            <w:pPr>
              <w:pStyle w:val="Compact"/>
              <w:jc w:val="left"/>
            </w:pPr>
            <w:r>
              <w:t xml:space="preserve">Legal Records</w:t>
            </w:r>
          </w:p>
        </w:tc>
      </w:tr>
      <w:tr>
        <w:tc>
          <w:tcPr/>
          <w:p>
            <w:pPr>
              <w:pStyle w:val="Compact"/>
              <w:jc w:val="left"/>
            </w:pPr>
            <w:r>
              <w:t xml:space="preserve">Stakeholder Satisfaction</w:t>
            </w:r>
          </w:p>
        </w:tc>
        <w:tc>
          <w:tcPr/>
          <w:p>
            <w:pPr>
              <w:pStyle w:val="Compact"/>
              <w:jc w:val="left"/>
            </w:pPr>
            <w:r>
              <w:t xml:space="preserve">Executive Satisfaction Score (1-10)</w:t>
            </w:r>
          </w:p>
        </w:tc>
        <w:tc>
          <w:tcPr/>
          <w:p>
            <w:pPr>
              <w:pStyle w:val="Compact"/>
              <w:jc w:val="left"/>
            </w:pPr>
            <w:r>
              <w:t xml:space="preserve">Post-Engagement Survey</w:t>
            </w:r>
          </w:p>
        </w:tc>
      </w:tr>
    </w:tbl>
    <w:bookmarkEnd w:id="27"/>
    <w:bookmarkStart w:id="28" w:name="ethical-considerations-and-compliance"/>
    <w:p>
      <w:pPr>
        <w:pStyle w:val="Heading2"/>
      </w:pPr>
      <w:r>
        <w:t xml:space="preserve">6. Ethical Considerations and Compliance</w:t>
      </w:r>
    </w:p>
    <w:p>
      <w:pPr>
        <w:pStyle w:val="FirstParagraph"/>
      </w:pPr>
      <w:r>
        <w:t xml:space="preserve">This experiment adheres strictly to the laws and regulations of the People's Republic of China, including the Personal Information Protection Law (PIPL) and the Data Security Law. All data collected will be anonymized and stored on servers located within mainland China to ensure data sovereignty compliance.</w:t>
      </w:r>
    </w:p>
    <w:p>
      <w:pPr>
        <w:pStyle w:val="BodyText"/>
      </w:pPr>
      <w:r>
        <w:t xml:space="preserve">Informed consent will be obtained from all participating organizations. The Business Consultants involved will be required to disclose any potential conflicts of interest. The study has been reviewed by an independent ethics committee to ensure the integrity of the research process.</w:t>
      </w:r>
    </w:p>
    <w:bookmarkEnd w:id="28"/>
    <w:bookmarkStart w:id="29" w:name="risk-management"/>
    <w:p>
      <w:pPr>
        <w:pStyle w:val="Heading2"/>
      </w:pPr>
      <w:r>
        <w:t xml:space="preserve">7. Risk Management</w:t>
      </w:r>
    </w:p>
    <w:p>
      <w:pPr>
        <w:pStyle w:val="FirstParagraph"/>
      </w:pPr>
      <w:r>
        <w:t xml:space="preserve">Potential risks include market volatility in Beijing, changes in local regulations, and participant attrition. Mitigation strategies include:</w:t>
      </w:r>
    </w:p>
    <w:p>
      <w:pPr>
        <w:numPr>
          <w:ilvl w:val="0"/>
          <w:numId w:val="1005"/>
        </w:numPr>
        <w:pStyle w:val="Compact"/>
      </w:pPr>
      <w:r>
        <w:t xml:space="preserve">Maintaining a buffer sample size to account for dropouts.</w:t>
      </w:r>
    </w:p>
    <w:p>
      <w:pPr>
        <w:numPr>
          <w:ilvl w:val="0"/>
          <w:numId w:val="1005"/>
        </w:numPr>
        <w:pStyle w:val="Compact"/>
      </w:pPr>
      <w:r>
        <w:t xml:space="preserve">Regular monitoring of regulatory changes affecting the study parameters.</w:t>
      </w:r>
    </w:p>
    <w:p>
      <w:pPr>
        <w:numPr>
          <w:ilvl w:val="0"/>
          <w:numId w:val="1005"/>
        </w:numPr>
        <w:pStyle w:val="Compact"/>
      </w:pPr>
      <w:r>
        <w:t xml:space="preserve">Ensuring confidentiality to protect participating firms from competitive disadvantage.</w:t>
      </w:r>
    </w:p>
    <w:bookmarkEnd w:id="29"/>
    <w:bookmarkStart w:id="30" w:name="conclusion"/>
    <w:p>
      <w:pPr>
        <w:pStyle w:val="Heading2"/>
      </w:pPr>
      <w:r>
        <w:t xml:space="preserve">8. Conclusion</w:t>
      </w:r>
    </w:p>
    <w:p>
      <w:pPr>
        <w:pStyle w:val="FirstParagraph"/>
      </w:pPr>
      <w:r>
        <w:t xml:space="preserve">This Experiment Protocol provides a structured framework for evaluating the efficacy of Business Consultant services in the unique environment of China Beijing. By rigorously measuring outcomes against control groups, this study aims to provide actionable insights for organizations seeking to leverage external expertise in one of the world's most critical business hubs. The findings will contribute to a deeper understanding of how consulting interventions can drive sustainable growth and operational excellence in the Beijing market.</w:t>
      </w:r>
    </w:p>
    <w:p>
      <w:pPr>
        <w:pStyle w:val="BodyText"/>
      </w:pPr>
      <w:r>
        <w:t xml:space="preserve">© 2024 Research Institute for Business Strategy. All rights reserved.</w:t>
      </w:r>
    </w:p>
    <w:p>
      <w:pPr>
        <w:pStyle w:val="BodyText"/>
      </w:pPr>
      <w:r>
        <w:t xml:space="preserve">Document Classification: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China Beijing</dc:title>
  <dc:creator/>
  <dc:language>en</dc:language>
  <cp:keywords/>
  <dcterms:created xsi:type="dcterms:W3CDTF">2026-10-10T06:48:54Z</dcterms:created>
  <dcterms:modified xsi:type="dcterms:W3CDTF">2026-10-10T06:48:54Z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