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China</w:t>
      </w:r>
      <w:r>
        <w:t xml:space="preserve"> </w:t>
      </w:r>
      <w:r>
        <w:t xml:space="preserve">Guangzhou</w:t>
      </w:r>
    </w:p>
    <w:bookmarkStart w:id="29" w:name="X3b248df4137ac354230d334e87495b7e3503da8"/>
    <w:p>
      <w:pPr>
        <w:pStyle w:val="Heading1"/>
      </w:pPr>
      <w:r>
        <w:t xml:space="preserve">Experiment Protocol: Strategic Impact of Business Consultant Interventions in China Guangzhou</w:t>
      </w:r>
    </w:p>
    <w:p>
      <w:pPr>
        <w:pStyle w:val="FirstParagraph"/>
      </w:pPr>
      <w:r>
        <w:rPr>
          <w:bCs/>
          <w:b/>
        </w:rPr>
        <w:t xml:space="preserve">Protocol ID:</w:t>
      </w:r>
      <w:r>
        <w:t xml:space="preserve"> </w:t>
      </w:r>
      <w:r>
        <w:t xml:space="preserve">EXP-GZ-BC-2024-001</w:t>
      </w:r>
    </w:p>
    <w:p>
      <w:pPr>
        <w:pStyle w:val="BodyText"/>
      </w:pPr>
      <w:r>
        <w:rPr>
          <w:bCs/>
          <w:b/>
        </w:rPr>
        <w:t xml:space="preserve">Location:</w:t>
      </w:r>
      <w:r>
        <w:t xml:space="preserve"> </w:t>
      </w:r>
      <w:r>
        <w:t xml:space="preserve">China Guangzhou, Guangdong Province</w:t>
      </w:r>
    </w:p>
    <w:p>
      <w:pPr>
        <w:pStyle w:val="BodyText"/>
      </w:pPr>
      <w:r>
        <w:rPr>
          <w:bCs/>
          <w:b/>
        </w:rPr>
        <w:t xml:space="preserve">Subject:</w:t>
      </w:r>
      <w:r>
        <w:t xml:space="preserve"> </w:t>
      </w:r>
      <w:r>
        <w:t xml:space="preserve">Business Consultant Performance and Market Adaptation</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economic landscape of</w:t>
      </w:r>
      <w:r>
        <w:t xml:space="preserve"> </w:t>
      </w:r>
      <w:r>
        <w:rPr>
          <w:bCs/>
          <w:b/>
        </w:rPr>
        <w:t xml:space="preserve">China Guangzhou</w:t>
      </w:r>
      <w:r>
        <w:t xml:space="preserve"> </w:t>
      </w:r>
      <w:r>
        <w:t xml:space="preserve">represents a unique convergence of traditional manufacturing heritage and cutting-edge digital innovation. As a pivotal hub in the Greater Bay Area, Guangzhou serves as a critical gateway for international trade and domestic expansion. However, the regulatory environment, cultural nuances, and rapid technological shifts present significant challenges for enterprises operating within this region.</w:t>
      </w:r>
    </w:p>
    <w:p>
      <w:pPr>
        <w:pStyle w:val="BodyText"/>
      </w:pPr>
      <w:r>
        <w:t xml:space="preserve">This</w:t>
      </w:r>
      <w:r>
        <w:t xml:space="preserve"> </w:t>
      </w:r>
      <w:r>
        <w:rPr>
          <w:bCs/>
          <w:b/>
        </w:rPr>
        <w:t xml:space="preserve">Experiment Protocol</w:t>
      </w:r>
      <w:r>
        <w:t xml:space="preserve"> </w:t>
      </w:r>
      <w:r>
        <w:t xml:space="preserve">is designed to rigorously evaluate the efficacy of a specialized</w:t>
      </w:r>
      <w:r>
        <w:t xml:space="preserve"> </w:t>
      </w:r>
      <w:r>
        <w:rPr>
          <w:bCs/>
          <w:b/>
        </w:rPr>
        <w:t xml:space="preserve">Business Consultant</w:t>
      </w:r>
      <w:r>
        <w:t xml:space="preserve"> </w:t>
      </w:r>
      <w:r>
        <w:t xml:space="preserve">in navigating these complexities. While the role of a consultant is widely recognized, there is a lack of empirical data regarding their specific impact on operational efficiency and market penetration within the distinct ecosystem of Guangzhou. This study aims to fill that gap by establishing a controlled framework to measure the tangible outcomes of consultant-led strategic interventions.</w:t>
      </w:r>
    </w:p>
    <w:bookmarkEnd w:id="20"/>
    <w:bookmarkStart w:id="21" w:name="objectives"/>
    <w:p>
      <w:pPr>
        <w:pStyle w:val="Heading2"/>
      </w:pPr>
      <w:r>
        <w:t xml:space="preserve">2. Objectives</w:t>
      </w:r>
    </w:p>
    <w:p>
      <w:pPr>
        <w:pStyle w:val="FirstParagraph"/>
      </w:pPr>
      <w:r>
        <w:t xml:space="preserve">The primary objective of this experiment is to quantify the value added by a</w:t>
      </w:r>
      <w:r>
        <w:t xml:space="preserve"> </w:t>
      </w:r>
      <w:r>
        <w:rPr>
          <w:bCs/>
          <w:b/>
        </w:rPr>
        <w:t xml:space="preserve">Business Consultant</w:t>
      </w:r>
      <w:r>
        <w:t xml:space="preserve"> </w:t>
      </w:r>
      <w:r>
        <w:t xml:space="preserve">to mid-sized enterprises in</w:t>
      </w:r>
      <w:r>
        <w:t xml:space="preserve"> </w:t>
      </w:r>
      <w:r>
        <w:rPr>
          <w:bCs/>
          <w:b/>
        </w:rPr>
        <w:t xml:space="preserve">China Guangzhou</w:t>
      </w:r>
      <w:r>
        <w:t xml:space="preserve">. Specific goals include:</w:t>
      </w:r>
    </w:p>
    <w:p>
      <w:pPr>
        <w:numPr>
          <w:ilvl w:val="0"/>
          <w:numId w:val="1001"/>
        </w:numPr>
        <w:pStyle w:val="Compact"/>
      </w:pPr>
      <w:r>
        <w:t xml:space="preserve">To assess the consultant's ability to align corporate strategy with local Guangzhou municipal regulations and industry standards.</w:t>
      </w:r>
    </w:p>
    <w:p>
      <w:pPr>
        <w:numPr>
          <w:ilvl w:val="0"/>
          <w:numId w:val="1001"/>
        </w:numPr>
        <w:pStyle w:val="Compact"/>
      </w:pPr>
      <w:r>
        <w:t xml:space="preserve">To measure improvements in cross-cultural communication and stakeholder management facilitated by the consultant.</w:t>
      </w:r>
    </w:p>
    <w:p>
      <w:pPr>
        <w:numPr>
          <w:ilvl w:val="0"/>
          <w:numId w:val="1001"/>
        </w:numPr>
        <w:pStyle w:val="Compact"/>
      </w:pPr>
      <w:r>
        <w:t xml:space="preserve">To evaluate the impact of consultant-driven digital transformation initiatives on operational throughput.</w:t>
      </w:r>
    </w:p>
    <w:p>
      <w:pPr>
        <w:numPr>
          <w:ilvl w:val="0"/>
          <w:numId w:val="1001"/>
        </w:numPr>
        <w:pStyle w:val="Compact"/>
      </w:pPr>
      <w:r>
        <w:t xml:space="preserve">To determine the return on investment (ROI) associated with hiring external expertise versus internal management in this specific geographic context.</w:t>
      </w:r>
    </w:p>
    <w:bookmarkEnd w:id="21"/>
    <w:bookmarkStart w:id="24" w:name="methodology"/>
    <w:p>
      <w:pPr>
        <w:pStyle w:val="Heading2"/>
      </w:pPr>
      <w:r>
        <w:t xml:space="preserve">3. Methodology</w:t>
      </w:r>
    </w:p>
    <w:p>
      <w:pPr>
        <w:pStyle w:val="FirstParagraph"/>
      </w:pPr>
      <w:r>
        <w:t xml:space="preserve">This</w:t>
      </w:r>
      <w:r>
        <w:t xml:space="preserve"> </w:t>
      </w:r>
      <w:r>
        <w:rPr>
          <w:bCs/>
          <w:b/>
        </w:rPr>
        <w:t xml:space="preserve">Experiment Protocol</w:t>
      </w:r>
      <w:r>
        <w:t xml:space="preserve"> </w:t>
      </w:r>
      <w:r>
        <w:t xml:space="preserve">utilizes a quasi-experimental design involving a control group and an intervention group. The study will be conducted over a period of six months within the Tianhe and Haizhu districts of Guangzhou, areas known for high commercial density.</w:t>
      </w:r>
    </w:p>
    <w:bookmarkStart w:id="22" w:name="participant-selection"/>
    <w:p>
      <w:pPr>
        <w:pStyle w:val="Heading3"/>
      </w:pPr>
      <w:r>
        <w:t xml:space="preserve">3.1 Participant Selection</w:t>
      </w:r>
    </w:p>
    <w:p>
      <w:pPr>
        <w:pStyle w:val="FirstParagraph"/>
      </w:pPr>
      <w:r>
        <w:t xml:space="preserve">Twenty (20) manufacturing and logistics firms will be selected based on the following criteria:</w:t>
      </w:r>
    </w:p>
    <w:p>
      <w:pPr>
        <w:numPr>
          <w:ilvl w:val="0"/>
          <w:numId w:val="1002"/>
        </w:numPr>
        <w:pStyle w:val="Compact"/>
      </w:pPr>
      <w:r>
        <w:t xml:space="preserve">Established operations in</w:t>
      </w:r>
      <w:r>
        <w:t xml:space="preserve"> </w:t>
      </w:r>
      <w:r>
        <w:rPr>
          <w:bCs/>
          <w:b/>
        </w:rPr>
        <w:t xml:space="preserve">China Guangzhou</w:t>
      </w:r>
      <w:r>
        <w:t xml:space="preserve"> </w:t>
      </w:r>
      <w:r>
        <w:t xml:space="preserve">for at least three years.</w:t>
      </w:r>
    </w:p>
    <w:p>
      <w:pPr>
        <w:numPr>
          <w:ilvl w:val="0"/>
          <w:numId w:val="1002"/>
        </w:numPr>
        <w:pStyle w:val="Compact"/>
      </w:pPr>
      <w:r>
        <w:t xml:space="preserve">Annual revenue between 50 million and 200 million RMB.</w:t>
      </w:r>
    </w:p>
    <w:p>
      <w:pPr>
        <w:numPr>
          <w:ilvl w:val="0"/>
          <w:numId w:val="1002"/>
        </w:numPr>
        <w:pStyle w:val="Compact"/>
      </w:pPr>
      <w:r>
        <w:t xml:space="preserve">Current intent to expand market share or optimize supply chain logistics.</w:t>
      </w:r>
    </w:p>
    <w:p>
      <w:pPr>
        <w:pStyle w:val="FirstParagraph"/>
      </w:pPr>
      <w:r>
        <w:t xml:space="preserve">Participants will be randomly assigned to either the Control Group (n=10), which will continue with standard internal management practices, or the Intervention Group (n=10), which will engage a certified</w:t>
      </w:r>
      <w:r>
        <w:t xml:space="preserve"> </w:t>
      </w:r>
      <w:r>
        <w:rPr>
          <w:bCs/>
          <w:b/>
        </w:rPr>
        <w:t xml:space="preserve">Business Consultant</w:t>
      </w:r>
      <w:r>
        <w:t xml:space="preserve"> </w:t>
      </w:r>
      <w:r>
        <w:t xml:space="preserve">specializing in the Greater Bay Area market.</w:t>
      </w:r>
    </w:p>
    <w:bookmarkEnd w:id="22"/>
    <w:bookmarkStart w:id="23" w:name="the-consultant-intervention"/>
    <w:p>
      <w:pPr>
        <w:pStyle w:val="Heading3"/>
      </w:pPr>
      <w:r>
        <w:t xml:space="preserve">3.2 The Consultant Intervention</w:t>
      </w:r>
    </w:p>
    <w:p>
      <w:pPr>
        <w:pStyle w:val="FirstParagraph"/>
      </w:pPr>
      <w:r>
        <w:t xml:space="preserve">The</w:t>
      </w:r>
      <w:r>
        <w:t xml:space="preserve"> </w:t>
      </w:r>
      <w:r>
        <w:rPr>
          <w:bCs/>
          <w:b/>
        </w:rPr>
        <w:t xml:space="preserve">Business Consultant</w:t>
      </w:r>
      <w:r>
        <w:t xml:space="preserve"> </w:t>
      </w:r>
      <w:r>
        <w:t xml:space="preserve">assigned to the Intervention Group must possess specific competencies relevant to</w:t>
      </w:r>
      <w:r>
        <w:t xml:space="preserve"> </w:t>
      </w:r>
      <w:r>
        <w:rPr>
          <w:bCs/>
          <w:b/>
        </w:rPr>
        <w:t xml:space="preserve">China Guangzhou</w:t>
      </w:r>
      <w:r>
        <w:t xml:space="preserve">. These include fluency in Mandarin and Cantonese, deep knowledge of local labor laws, and experience with the "Guangzhou Model" of industrial upgrading. The consultant's mandate includes:</w:t>
      </w:r>
    </w:p>
    <w:p>
      <w:pPr>
        <w:numPr>
          <w:ilvl w:val="0"/>
          <w:numId w:val="1003"/>
        </w:numPr>
        <w:pStyle w:val="Compact"/>
      </w:pPr>
      <w:r>
        <w:t xml:space="preserve">Conducting a comprehensive audit of current operational workflows.</w:t>
      </w:r>
    </w:p>
    <w:p>
      <w:pPr>
        <w:numPr>
          <w:ilvl w:val="0"/>
          <w:numId w:val="1003"/>
        </w:numPr>
        <w:pStyle w:val="Compact"/>
      </w:pPr>
      <w:r>
        <w:t xml:space="preserve">Developing a localized market entry or expansion strategy.</w:t>
      </w:r>
    </w:p>
    <w:p>
      <w:pPr>
        <w:numPr>
          <w:ilvl w:val="0"/>
          <w:numId w:val="1003"/>
        </w:numPr>
        <w:pStyle w:val="Compact"/>
      </w:pPr>
      <w:r>
        <w:t xml:space="preserve">Facilitating negotiations with local government bodies and suppliers.</w:t>
      </w:r>
    </w:p>
    <w:p>
      <w:pPr>
        <w:numPr>
          <w:ilvl w:val="0"/>
          <w:numId w:val="1003"/>
        </w:numPr>
        <w:pStyle w:val="Compact"/>
      </w:pPr>
      <w:r>
        <w:t xml:space="preserve">Implementing data-driven decision-making frameworks.</w:t>
      </w:r>
    </w:p>
    <w:bookmarkEnd w:id="23"/>
    <w:bookmarkEnd w:id="24"/>
    <w:bookmarkStart w:id="25" w:name="data-collection-and-metrics"/>
    <w:p>
      <w:pPr>
        <w:pStyle w:val="Heading2"/>
      </w:pPr>
      <w:r>
        <w:t xml:space="preserve">4. Data Collection and Metrics</w:t>
      </w:r>
    </w:p>
    <w:p>
      <w:pPr>
        <w:pStyle w:val="FirstParagraph"/>
      </w:pPr>
      <w:r>
        <w:t xml:space="preserve">To ensure the validity of this</w:t>
      </w:r>
      <w:r>
        <w:t xml:space="preserve"> </w:t>
      </w:r>
      <w:r>
        <w:rPr>
          <w:bCs/>
          <w:b/>
        </w:rPr>
        <w:t xml:space="preserve">Experiment Protocol</w:t>
      </w:r>
      <w:r>
        <w:t xml:space="preserve">, data will be collected at three intervals: Baseline (Month 0), Mid-term (Month 3), and Final (Month 6). The following Key Performance Indicators (KPIs) will be tracked: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 Category</w:t>
            </w:r>
          </w:p>
        </w:tc>
        <w:tc>
          <w:tcPr/>
          <w:p>
            <w:pPr>
              <w:pStyle w:val="Compact"/>
              <w:jc w:val="left"/>
            </w:pPr>
            <w:r>
              <w:t xml:space="preserve">Specific Indicator</w:t>
            </w:r>
          </w:p>
        </w:tc>
        <w:tc>
          <w:tcPr/>
          <w:p>
            <w:pPr>
              <w:pStyle w:val="Compact"/>
              <w:jc w:val="left"/>
            </w:pPr>
            <w:r>
              <w:t xml:space="preserve">Measurement Method</w:t>
            </w:r>
          </w:p>
        </w:tc>
      </w:tr>
      <w:tr>
        <w:tc>
          <w:tcPr/>
          <w:p>
            <w:pPr>
              <w:pStyle w:val="Compact"/>
              <w:jc w:val="left"/>
            </w:pPr>
            <w:r>
              <w:t xml:space="preserve">Financial Performance</w:t>
            </w:r>
          </w:p>
        </w:tc>
        <w:tc>
          <w:tcPr/>
          <w:p>
            <w:pPr>
              <w:pStyle w:val="Compact"/>
              <w:jc w:val="left"/>
            </w:pPr>
            <w:r>
              <w:t xml:space="preserve">Revenue Growth Rate</w:t>
            </w:r>
          </w:p>
        </w:tc>
        <w:tc>
          <w:tcPr/>
          <w:p>
            <w:pPr>
              <w:pStyle w:val="Compact"/>
              <w:jc w:val="left"/>
            </w:pPr>
            <w:r>
              <w:t xml:space="preserve">Quarterly financial statements</w:t>
            </w:r>
          </w:p>
        </w:tc>
      </w:tr>
      <w:tr>
        <w:tc>
          <w:tcPr/>
          <w:p>
            <w:pPr>
              <w:pStyle w:val="Compact"/>
              <w:jc w:val="left"/>
            </w:pPr>
            <w:r>
              <w:t xml:space="preserve">Operational Efficiency</w:t>
            </w:r>
          </w:p>
        </w:tc>
        <w:tc>
          <w:tcPr/>
          <w:p>
            <w:pPr>
              <w:pStyle w:val="Compact"/>
              <w:jc w:val="left"/>
            </w:pPr>
            <w:r>
              <w:t xml:space="preserve">Supply Chain Lead Time</w:t>
            </w:r>
          </w:p>
        </w:tc>
        <w:tc>
          <w:tcPr/>
          <w:p>
            <w:pPr>
              <w:pStyle w:val="Compact"/>
              <w:jc w:val="left"/>
            </w:pPr>
            <w:r>
              <w:t xml:space="preserve">Logistics tracking software data</w:t>
            </w:r>
          </w:p>
        </w:tc>
      </w:tr>
      <w:tr>
        <w:tc>
          <w:tcPr/>
          <w:p>
            <w:pPr>
              <w:pStyle w:val="Compact"/>
              <w:jc w:val="left"/>
            </w:pPr>
            <w:r>
              <w:t xml:space="preserve">Regulatory Compliance</w:t>
            </w:r>
          </w:p>
        </w:tc>
        <w:tc>
          <w:tcPr/>
          <w:p>
            <w:pPr>
              <w:pStyle w:val="Compact"/>
              <w:jc w:val="left"/>
            </w:pPr>
            <w:r>
              <w:t xml:space="preserve">Number of Compliance Violations</w:t>
            </w:r>
          </w:p>
        </w:tc>
        <w:tc>
          <w:tcPr/>
          <w:p>
            <w:pPr>
              <w:pStyle w:val="Compact"/>
              <w:jc w:val="left"/>
            </w:pPr>
            <w:r>
              <w:t xml:space="preserve">Internal audit reports</w:t>
            </w:r>
          </w:p>
        </w:tc>
      </w:tr>
      <w:tr>
        <w:tc>
          <w:tcPr/>
          <w:p>
            <w:pPr>
              <w:pStyle w:val="Compact"/>
              <w:jc w:val="left"/>
            </w:pPr>
            <w:r>
              <w:t xml:space="preserve">Market Adaptation</w:t>
            </w:r>
          </w:p>
        </w:tc>
        <w:tc>
          <w:tcPr/>
          <w:p>
            <w:pPr>
              <w:pStyle w:val="Compact"/>
              <w:jc w:val="left"/>
            </w:pPr>
            <w:r>
              <w:t xml:space="preserve">Local Stakeholder Satisfaction</w:t>
            </w:r>
          </w:p>
        </w:tc>
        <w:tc>
          <w:tcPr/>
          <w:p>
            <w:pPr>
              <w:pStyle w:val="Compact"/>
              <w:jc w:val="left"/>
            </w:pPr>
            <w:r>
              <w:t xml:space="preserve">Structured surveys (Likert scale)</w:t>
            </w:r>
          </w:p>
        </w:tc>
      </w:tr>
    </w:tbl>
    <w:bookmarkEnd w:id="25"/>
    <w:bookmarkStart w:id="26" w:name="ethical-considerations-and-compliance"/>
    <w:p>
      <w:pPr>
        <w:pStyle w:val="Heading2"/>
      </w:pPr>
      <w:r>
        <w:t xml:space="preserve">5. Ethical Considerations and Compliance</w:t>
      </w:r>
    </w:p>
    <w:p>
      <w:pPr>
        <w:pStyle w:val="FirstParagraph"/>
      </w:pPr>
      <w:r>
        <w:t xml:space="preserve">Given the sensitive nature of business data in</w:t>
      </w:r>
      <w:r>
        <w:t xml:space="preserve"> </w:t>
      </w:r>
      <w:r>
        <w:rPr>
          <w:bCs/>
          <w:b/>
        </w:rPr>
        <w:t xml:space="preserve">China Guangzhou</w:t>
      </w:r>
      <w:r>
        <w:t xml:space="preserve">, this</w:t>
      </w:r>
      <w:r>
        <w:t xml:space="preserve"> </w:t>
      </w:r>
      <w:r>
        <w:rPr>
          <w:bCs/>
          <w:b/>
        </w:rPr>
        <w:t xml:space="preserve">Experiment Protocol</w:t>
      </w:r>
      <w:r>
        <w:t xml:space="preserve"> </w:t>
      </w:r>
      <w:r>
        <w:t xml:space="preserve">strictly adheres to the Personal Information Protection Law (PIPL) of the People's Republic of China. All data collected will be anonymized. The</w:t>
      </w:r>
      <w:r>
        <w:t xml:space="preserve"> </w:t>
      </w:r>
      <w:r>
        <w:rPr>
          <w:bCs/>
          <w:b/>
        </w:rPr>
        <w:t xml:space="preserve">Business Consultant</w:t>
      </w:r>
      <w:r>
        <w:t xml:space="preserve"> </w:t>
      </w:r>
      <w:r>
        <w:t xml:space="preserve">is required to sign a Non-Disclosure Agreement (NDA) that protects proprietary information of the participating firms. Furthermore, the study has been reviewed to ensure it does not interfere with the normal commercial activities of the subjects.</w:t>
      </w:r>
    </w:p>
    <w:bookmarkEnd w:id="26"/>
    <w:bookmarkStart w:id="27" w:name="risk-management"/>
    <w:p>
      <w:pPr>
        <w:pStyle w:val="Heading2"/>
      </w:pPr>
      <w:r>
        <w:t xml:space="preserve">6. Risk Management</w:t>
      </w:r>
    </w:p>
    <w:p>
      <w:pPr>
        <w:pStyle w:val="FirstParagraph"/>
      </w:pPr>
      <w:r>
        <w:t xml:space="preserve">Potential risks include market volatility specific to the Guangzhou region and resistance to change within the participating firms. To mitigate these risks, the</w:t>
      </w:r>
      <w:r>
        <w:t xml:space="preserve"> </w:t>
      </w:r>
      <w:r>
        <w:rPr>
          <w:bCs/>
          <w:b/>
        </w:rPr>
        <w:t xml:space="preserve">Business Consultant</w:t>
      </w:r>
      <w:r>
        <w:t xml:space="preserve"> </w:t>
      </w:r>
      <w:r>
        <w:t xml:space="preserve">will employ change management strategies tailored to Chinese corporate culture, emphasizing collective benefit and long-term stability. The</w:t>
      </w:r>
      <w:r>
        <w:t xml:space="preserve"> </w:t>
      </w:r>
      <w:r>
        <w:rPr>
          <w:bCs/>
          <w:b/>
        </w:rPr>
        <w:t xml:space="preserve">Experiment Protocol</w:t>
      </w:r>
      <w:r>
        <w:t xml:space="preserve"> </w:t>
      </w:r>
      <w:r>
        <w:t xml:space="preserve">includes a contingency plan to pause interventions if significant operational disruption occurs.</w:t>
      </w:r>
    </w:p>
    <w:bookmarkEnd w:id="27"/>
    <w:bookmarkStart w:id="28"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provides a structured approach to understanding the critical role of the</w:t>
      </w:r>
      <w:r>
        <w:t xml:space="preserve"> </w:t>
      </w:r>
      <w:r>
        <w:rPr>
          <w:bCs/>
          <w:b/>
        </w:rPr>
        <w:t xml:space="preserve">Business Consultant</w:t>
      </w:r>
      <w:r>
        <w:t xml:space="preserve"> </w:t>
      </w:r>
      <w:r>
        <w:t xml:space="preserve">in the dynamic environment of</w:t>
      </w:r>
      <w:r>
        <w:t xml:space="preserve"> </w:t>
      </w:r>
      <w:r>
        <w:rPr>
          <w:bCs/>
          <w:b/>
        </w:rPr>
        <w:t xml:space="preserve">China Guangzhou</w:t>
      </w:r>
      <w:r>
        <w:t xml:space="preserve">. By isolating the variables associated with professional consulting services, this study will generate actionable insights for enterprises seeking to optimize their performance in one of China's most vital economic zones. The findings will contribute to the broader academic and practical discourse on management consulting efficacy in emerging market hubs.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China Guangzhou</dc:title>
  <dc:creator/>
  <dc:language>en</dc:language>
  <cp:keywords/>
  <dcterms:created xsi:type="dcterms:W3CDTF">2026-10-10T09:17:42Z</dcterms:created>
  <dcterms:modified xsi:type="dcterms:W3CDTF">2026-10-10T09:17:42Z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