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Bogotá,</w:t>
      </w:r>
      <w:r>
        <w:t xml:space="preserve"> </w:t>
      </w:r>
      <w:r>
        <w:t xml:space="preserve">Colombia</w:t>
      </w:r>
    </w:p>
    <w:bookmarkStart w:id="20" w:name="X9354f7b62e31fef26f3a3cfc2bdfb99ce656c7f"/>
    <w:p>
      <w:pPr>
        <w:pStyle w:val="Heading1"/>
      </w:pPr>
      <w:r>
        <w:t xml:space="preserve">Experiment Protocol: Evaluating the Impact of Business Consultant Interventions on SME Growth in Colombia Bogotá</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Bogotá, Colombia</w:t>
      </w:r>
      <w:r>
        <w:br/>
      </w:r>
      <w:r>
        <w:rPr>
          <w:bCs/>
          <w:b/>
        </w:rPr>
        <w:t xml:space="preserve">Prepared For:</w:t>
      </w:r>
      <w:r>
        <w:t xml:space="preserve"> </w:t>
      </w:r>
      <w:r>
        <w:t xml:space="preserve">Research Institute for Economic Development</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effectiveness of Business Consultant services on small and medium-sized enterprises (SMEs) located in Colombia Bogotá. The capital city of Colombia is a hub for economic activity, yet many SMEs struggle with scalability, operational efficiency, and market penetration. This study aims to determine whether structured consulting interventions can significantly improve key performance indicators (KPIs) such as revenue growth, operational efficiency, and employee satisfaction.</w:t>
      </w:r>
    </w:p>
    <w:p>
      <w:pPr>
        <w:pStyle w:val="BodyText"/>
      </w:pPr>
      <w:r>
        <w:t xml:space="preserve">The protocol is designed to adhere to rigorous scientific standards while considering the unique socio-economic and cultural context of Bogotá. By focusing on this specific geographic and professional domain, the experiment seeks to provide actionable insights for policymakers, business owners, and consulting firms operating in Colombia.</w:t>
      </w:r>
    </w:p>
    <w:bookmarkEnd w:id="21"/>
    <w:bookmarkStart w:id="24" w:name="objectives"/>
    <w:p>
      <w:pPr>
        <w:pStyle w:val="Heading2"/>
      </w:pPr>
      <w:r>
        <w:t xml:space="preserve">2. Objectives</w:t>
      </w:r>
    </w:p>
    <w:bookmarkStart w:id="22" w:name="primary-objective"/>
    <w:p>
      <w:pPr>
        <w:pStyle w:val="Heading3"/>
      </w:pPr>
      <w:r>
        <w:t xml:space="preserve">2.1 Primary Objective</w:t>
      </w:r>
    </w:p>
    <w:p>
      <w:pPr>
        <w:pStyle w:val="FirstParagraph"/>
      </w:pPr>
      <w:r>
        <w:t xml:space="preserve">To measure the causal impact of Business Consultant interventions on the financial and operational performance of SMEs in Colombia Bogotá over a six-month period.</w:t>
      </w:r>
    </w:p>
    <w:bookmarkEnd w:id="22"/>
    <w:bookmarkStart w:id="23" w:name="secondary-objectives"/>
    <w:p>
      <w:pPr>
        <w:pStyle w:val="Heading3"/>
      </w:pPr>
      <w:r>
        <w:t xml:space="preserve">2.2 Secondary Objectives</w:t>
      </w:r>
    </w:p>
    <w:p>
      <w:pPr>
        <w:numPr>
          <w:ilvl w:val="0"/>
          <w:numId w:val="1001"/>
        </w:numPr>
        <w:pStyle w:val="Compact"/>
      </w:pPr>
      <w:r>
        <w:t xml:space="preserve">To identify which consulting methodologies yield the highest return on investment (ROI) for SMEs in Bogotá.</w:t>
      </w:r>
    </w:p>
    <w:p>
      <w:pPr>
        <w:numPr>
          <w:ilvl w:val="0"/>
          <w:numId w:val="1001"/>
        </w:numPr>
        <w:pStyle w:val="Compact"/>
      </w:pPr>
      <w:r>
        <w:t xml:space="preserve">To assess the role of cultural factors in the success of consulting engagements within the Colombian business environment.</w:t>
      </w:r>
    </w:p>
    <w:p>
      <w:pPr>
        <w:numPr>
          <w:ilvl w:val="0"/>
          <w:numId w:val="1001"/>
        </w:numPr>
        <w:pStyle w:val="Compact"/>
      </w:pPr>
      <w:r>
        <w:t xml:space="preserve">To evaluate the long-term sustainability of improvements achieved through consulting interventions.</w:t>
      </w:r>
    </w:p>
    <w:bookmarkEnd w:id="23"/>
    <w:bookmarkEnd w:id="24"/>
    <w:bookmarkStart w:id="28" w:name="methodology"/>
    <w:p>
      <w:pPr>
        <w:pStyle w:val="Heading2"/>
      </w:pPr>
      <w:r>
        <w:t xml:space="preserve">3. Methodology</w:t>
      </w:r>
    </w:p>
    <w:bookmarkStart w:id="25" w:name="study-design"/>
    <w:p>
      <w:pPr>
        <w:pStyle w:val="Heading3"/>
      </w:pPr>
      <w:r>
        <w:t xml:space="preserve">3.1 Study Design</w:t>
      </w:r>
    </w:p>
    <w:p>
      <w:pPr>
        <w:pStyle w:val="FirstParagraph"/>
      </w:pPr>
      <w:r>
        <w:t xml:space="preserve">This experiment will employ a randomized controlled trial (RCT) design. Participating SMEs will be randomly assigned to either a treatment group (receiving Business Consultant services) or a control group (continuing with standard operations). The RCT design ensures that observed differences in outcomes can be attributed to the consulting intervention rather than external factors.</w:t>
      </w:r>
    </w:p>
    <w:bookmarkEnd w:id="25"/>
    <w:bookmarkStart w:id="26" w:name="sample-selection"/>
    <w:p>
      <w:pPr>
        <w:pStyle w:val="Heading3"/>
      </w:pPr>
      <w:r>
        <w:t xml:space="preserve">3.2 Sample Selection</w:t>
      </w:r>
    </w:p>
    <w:p>
      <w:pPr>
        <w:pStyle w:val="FirstParagraph"/>
      </w:pPr>
      <w:r>
        <w:t xml:space="preserve">The target population consists of SMEs operating in Colombia Bogotá with the following criteria:</w:t>
      </w:r>
    </w:p>
    <w:p>
      <w:pPr>
        <w:numPr>
          <w:ilvl w:val="0"/>
          <w:numId w:val="1002"/>
        </w:numPr>
        <w:pStyle w:val="Compact"/>
      </w:pPr>
      <w:r>
        <w:t xml:space="preserve">At least two years of operation.</w:t>
      </w:r>
    </w:p>
    <w:p>
      <w:pPr>
        <w:numPr>
          <w:ilvl w:val="0"/>
          <w:numId w:val="1002"/>
        </w:numPr>
        <w:pStyle w:val="Compact"/>
      </w:pPr>
      <w:r>
        <w:t xml:space="preserve">Annual revenue between COP 500 million and COP 5 billion.</w:t>
      </w:r>
    </w:p>
    <w:p>
      <w:pPr>
        <w:numPr>
          <w:ilvl w:val="0"/>
          <w:numId w:val="1002"/>
        </w:numPr>
        <w:pStyle w:val="Compact"/>
      </w:pPr>
      <w:r>
        <w:t xml:space="preserve">Willingness to participate in the study and provide access to relevant data.</w:t>
      </w:r>
    </w:p>
    <w:p>
      <w:pPr>
        <w:pStyle w:val="FirstParagraph"/>
      </w:pPr>
      <w:r>
        <w:t xml:space="preserve">A total of 100 SMEs will be recruited, with 50 assigned to the treatment group and 50 to the control group. Stratified randomization will be used to ensure balance across industries (e.g., retail, manufacturing, services).</w:t>
      </w:r>
    </w:p>
    <w:bookmarkEnd w:id="26"/>
    <w:bookmarkStart w:id="27" w:name="intervention"/>
    <w:p>
      <w:pPr>
        <w:pStyle w:val="Heading3"/>
      </w:pPr>
      <w:r>
        <w:t xml:space="preserve">3.3 Intervention</w:t>
      </w:r>
    </w:p>
    <w:p>
      <w:pPr>
        <w:pStyle w:val="FirstParagraph"/>
      </w:pPr>
      <w:r>
        <w:t xml:space="preserve">SMEs in the treatment group will receive a standardized consulting package provided by certified Business Consultant professionals. The package includes:</w:t>
      </w:r>
    </w:p>
    <w:p>
      <w:pPr>
        <w:numPr>
          <w:ilvl w:val="0"/>
          <w:numId w:val="1003"/>
        </w:numPr>
        <w:pStyle w:val="Compact"/>
      </w:pPr>
      <w:r>
        <w:t xml:space="preserve">Initial diagnostic assessment of business operations.</w:t>
      </w:r>
    </w:p>
    <w:p>
      <w:pPr>
        <w:numPr>
          <w:ilvl w:val="0"/>
          <w:numId w:val="1003"/>
        </w:numPr>
        <w:pStyle w:val="Compact"/>
      </w:pPr>
      <w:r>
        <w:t xml:space="preserve">Development of a tailored strategic plan.</w:t>
      </w:r>
    </w:p>
    <w:p>
      <w:pPr>
        <w:numPr>
          <w:ilvl w:val="0"/>
          <w:numId w:val="1003"/>
        </w:numPr>
        <w:pStyle w:val="Compact"/>
      </w:pPr>
      <w:r>
        <w:t xml:space="preserve">Implementation support over a six-month period.</w:t>
      </w:r>
    </w:p>
    <w:p>
      <w:pPr>
        <w:numPr>
          <w:ilvl w:val="0"/>
          <w:numId w:val="1003"/>
        </w:numPr>
        <w:pStyle w:val="Compact"/>
      </w:pPr>
      <w:r>
        <w:t xml:space="preserve">Monthly progress reviews and adjustments.</w:t>
      </w:r>
    </w:p>
    <w:p>
      <w:pPr>
        <w:pStyle w:val="FirstParagraph"/>
      </w:pPr>
      <w:r>
        <w:t xml:space="preserve">The consulting services will be delivered in Spanish to align with the local language and cultural norms of Colombia Bogotá.</w:t>
      </w:r>
    </w:p>
    <w:bookmarkEnd w:id="27"/>
    <w:bookmarkEnd w:id="28"/>
    <w:bookmarkStart w:id="32" w:name="data-collection"/>
    <w:p>
      <w:pPr>
        <w:pStyle w:val="Heading2"/>
      </w:pPr>
      <w:r>
        <w:t xml:space="preserve">4. Data Collection</w:t>
      </w:r>
    </w:p>
    <w:bookmarkStart w:id="29" w:name="variables"/>
    <w:p>
      <w:pPr>
        <w:pStyle w:val="Heading3"/>
      </w:pPr>
      <w:r>
        <w:t xml:space="preserve">4.1 Variables</w:t>
      </w:r>
    </w:p>
    <w:p>
      <w:pPr>
        <w:pStyle w:val="FirstParagraph"/>
      </w:pPr>
      <w:r>
        <w:t xml:space="preserve">The following variables will be measured:</w:t>
      </w:r>
    </w:p>
    <w:p>
      <w:pPr>
        <w:numPr>
          <w:ilvl w:val="0"/>
          <w:numId w:val="1004"/>
        </w:numPr>
        <w:pStyle w:val="Compact"/>
      </w:pPr>
      <w:r>
        <w:rPr>
          <w:bCs/>
          <w:b/>
        </w:rPr>
        <w:t xml:space="preserve">Dependent Variables:</w:t>
      </w:r>
      <w:r>
        <w:t xml:space="preserve"> </w:t>
      </w:r>
      <w:r>
        <w:t xml:space="preserve">Revenue growth, profit margins, operational efficiency metrics, employee satisfaction scores.</w:t>
      </w:r>
    </w:p>
    <w:p>
      <w:pPr>
        <w:numPr>
          <w:ilvl w:val="0"/>
          <w:numId w:val="1004"/>
        </w:numPr>
        <w:pStyle w:val="Compact"/>
      </w:pPr>
      <w:r>
        <w:rPr>
          <w:bCs/>
          <w:b/>
        </w:rPr>
        <w:t xml:space="preserve">Independent Variable:</w:t>
      </w:r>
      <w:r>
        <w:t xml:space="preserve"> </w:t>
      </w:r>
      <w:r>
        <w:t xml:space="preserve">Receipt of Business Consultant services.</w:t>
      </w:r>
    </w:p>
    <w:p>
      <w:pPr>
        <w:numPr>
          <w:ilvl w:val="0"/>
          <w:numId w:val="1004"/>
        </w:numPr>
        <w:pStyle w:val="Compact"/>
      </w:pPr>
      <w:r>
        <w:rPr>
          <w:bCs/>
          <w:b/>
        </w:rPr>
        <w:t xml:space="preserve">Control Variables:</w:t>
      </w:r>
      <w:r>
        <w:t xml:space="preserve"> </w:t>
      </w:r>
      <w:r>
        <w:t xml:space="preserve">Industry type, company size, initial financial performance, owner demographics.</w:t>
      </w:r>
    </w:p>
    <w:bookmarkEnd w:id="29"/>
    <w:bookmarkStart w:id="30" w:name="data-sources"/>
    <w:p>
      <w:pPr>
        <w:pStyle w:val="Heading3"/>
      </w:pPr>
      <w:r>
        <w:t xml:space="preserve">4.2 Data Sources</w:t>
      </w:r>
    </w:p>
    <w:p>
      <w:pPr>
        <w:pStyle w:val="FirstParagraph"/>
      </w:pPr>
      <w:r>
        <w:t xml:space="preserve">Data will be collected through:</w:t>
      </w:r>
    </w:p>
    <w:p>
      <w:pPr>
        <w:numPr>
          <w:ilvl w:val="0"/>
          <w:numId w:val="1005"/>
        </w:numPr>
        <w:pStyle w:val="Compact"/>
      </w:pPr>
      <w:r>
        <w:t xml:space="preserve">Financial statements and operational reports provided by participating SMEs.</w:t>
      </w:r>
    </w:p>
    <w:p>
      <w:pPr>
        <w:numPr>
          <w:ilvl w:val="0"/>
          <w:numId w:val="1005"/>
        </w:numPr>
        <w:pStyle w:val="Compact"/>
      </w:pPr>
      <w:r>
        <w:t xml:space="preserve">Surveys administered to business owners and employees.</w:t>
      </w:r>
    </w:p>
    <w:p>
      <w:pPr>
        <w:numPr>
          <w:ilvl w:val="0"/>
          <w:numId w:val="1005"/>
        </w:numPr>
        <w:pStyle w:val="Compact"/>
      </w:pPr>
      <w:r>
        <w:t xml:space="preserve">Interviews with Business Consultant professionals involved in the intervention.</w:t>
      </w:r>
    </w:p>
    <w:bookmarkEnd w:id="30"/>
    <w:bookmarkStart w:id="31" w:name="timeline"/>
    <w:p>
      <w:pPr>
        <w:pStyle w:val="Heading3"/>
      </w:pPr>
      <w:r>
        <w:t xml:space="preserve">4.3 Timeline</w:t>
      </w:r>
    </w:p>
    <w:p>
      <w:pPr>
        <w:pStyle w:val="FirstParagraph"/>
      </w:pPr>
      <w:r>
        <w:t xml:space="preserve">Data collection will occur at three time points:</w:t>
      </w:r>
    </w:p>
    <w:p>
      <w:pPr>
        <w:numPr>
          <w:ilvl w:val="0"/>
          <w:numId w:val="1006"/>
        </w:numPr>
        <w:pStyle w:val="Compact"/>
      </w:pPr>
      <w:r>
        <w:rPr>
          <w:bCs/>
          <w:b/>
        </w:rPr>
        <w:t xml:space="preserve">Baseline:</w:t>
      </w:r>
      <w:r>
        <w:t xml:space="preserve"> </w:t>
      </w:r>
      <w:r>
        <w:t xml:space="preserve">Before the intervention begins.</w:t>
      </w:r>
    </w:p>
    <w:p>
      <w:pPr>
        <w:numPr>
          <w:ilvl w:val="0"/>
          <w:numId w:val="1006"/>
        </w:numPr>
        <w:pStyle w:val="Compact"/>
      </w:pPr>
      <w:r>
        <w:rPr>
          <w:bCs/>
          <w:b/>
        </w:rPr>
        <w:t xml:space="preserve">Midpoint:</w:t>
      </w:r>
      <w:r>
        <w:t xml:space="preserve"> </w:t>
      </w:r>
      <w:r>
        <w:t xml:space="preserve">After three months of consulting services.</w:t>
      </w:r>
    </w:p>
    <w:p>
      <w:pPr>
        <w:numPr>
          <w:ilvl w:val="0"/>
          <w:numId w:val="1006"/>
        </w:numPr>
        <w:pStyle w:val="Compact"/>
      </w:pPr>
      <w:r>
        <w:rPr>
          <w:bCs/>
          <w:b/>
        </w:rPr>
        <w:t xml:space="preserve">Endline:</w:t>
      </w:r>
      <w:r>
        <w:t xml:space="preserve"> </w:t>
      </w:r>
      <w:r>
        <w:t xml:space="preserve">After six months of consulting services.</w:t>
      </w:r>
    </w:p>
    <w:bookmarkEnd w:id="31"/>
    <w:bookmarkEnd w:id="32"/>
    <w:bookmarkStart w:id="33" w:name="ethical-considerations"/>
    <w:p>
      <w:pPr>
        <w:pStyle w:val="Heading2"/>
      </w:pPr>
      <w:r>
        <w:t xml:space="preserve">5. Ethical Considerations</w:t>
      </w:r>
    </w:p>
    <w:p>
      <w:pPr>
        <w:pStyle w:val="FirstParagraph"/>
      </w:pPr>
      <w:r>
        <w:t xml:space="preserve">This experiment will adhere to ethical guidelines for research involving human subjects. Key considerations include:</w:t>
      </w:r>
    </w:p>
    <w:p>
      <w:pPr>
        <w:numPr>
          <w:ilvl w:val="0"/>
          <w:numId w:val="1007"/>
        </w:numPr>
        <w:pStyle w:val="Compact"/>
      </w:pPr>
      <w:r>
        <w:rPr>
          <w:bCs/>
          <w:b/>
        </w:rPr>
        <w:t xml:space="preserve">Informed Consent:</w:t>
      </w:r>
      <w:r>
        <w:t xml:space="preserve"> </w:t>
      </w:r>
      <w:r>
        <w:t xml:space="preserve">All participating SMEs will provide written consent after being fully informed about the study's purpose, procedures, and potential risks.</w:t>
      </w:r>
    </w:p>
    <w:p>
      <w:pPr>
        <w:numPr>
          <w:ilvl w:val="0"/>
          <w:numId w:val="1007"/>
        </w:numPr>
        <w:pStyle w:val="Compact"/>
      </w:pPr>
      <w:r>
        <w:rPr>
          <w:bCs/>
          <w:b/>
        </w:rPr>
        <w:t xml:space="preserve">Confidentiality:</w:t>
      </w:r>
      <w:r>
        <w:t xml:space="preserve"> </w:t>
      </w:r>
      <w:r>
        <w:t xml:space="preserve">All data collected will be anonymized and stored securely to protect the privacy of participants.</w:t>
      </w:r>
    </w:p>
    <w:p>
      <w:pPr>
        <w:numPr>
          <w:ilvl w:val="0"/>
          <w:numId w:val="1007"/>
        </w:numPr>
        <w:pStyle w:val="Compact"/>
      </w:pPr>
      <w:r>
        <w:rPr>
          <w:bCs/>
          <w:b/>
        </w:rPr>
        <w:t xml:space="preserve">Equity:</w:t>
      </w:r>
      <w:r>
        <w:t xml:space="preserve"> </w:t>
      </w:r>
      <w:r>
        <w:t xml:space="preserve">SMEs in the control group will be offered access to the consulting services after the study concludes to ensure fairness.</w:t>
      </w:r>
    </w:p>
    <w:bookmarkEnd w:id="33"/>
    <w:bookmarkStart w:id="34" w:name="analysis-plan"/>
    <w:p>
      <w:pPr>
        <w:pStyle w:val="Heading2"/>
      </w:pPr>
      <w:r>
        <w:t xml:space="preserve">6. Analysis Plan</w:t>
      </w:r>
    </w:p>
    <w:p>
      <w:pPr>
        <w:pStyle w:val="FirstParagraph"/>
      </w:pPr>
      <w:r>
        <w:t xml:space="preserve">Data will be analyzed using statistical methods appropriate for RCT designs. Key analyses include:</w:t>
      </w:r>
    </w:p>
    <w:p>
      <w:pPr>
        <w:numPr>
          <w:ilvl w:val="0"/>
          <w:numId w:val="1008"/>
        </w:numPr>
        <w:pStyle w:val="Compact"/>
      </w:pPr>
      <w:r>
        <w:t xml:space="preserve">Comparing changes in KPIs between the treatment and control groups using t-tests or ANOVA.</w:t>
      </w:r>
    </w:p>
    <w:p>
      <w:pPr>
        <w:numPr>
          <w:ilvl w:val="0"/>
          <w:numId w:val="1008"/>
        </w:numPr>
        <w:pStyle w:val="Compact"/>
      </w:pPr>
      <w:r>
        <w:t xml:space="preserve">Conducting regression analyses to control for potential confounding variables.</w:t>
      </w:r>
    </w:p>
    <w:p>
      <w:pPr>
        <w:numPr>
          <w:ilvl w:val="0"/>
          <w:numId w:val="1008"/>
        </w:numPr>
        <w:pStyle w:val="Compact"/>
      </w:pPr>
      <w:r>
        <w:t xml:space="preserve">Performing qualitative analysis of interview data to identify themes related to the consulting process.</w:t>
      </w:r>
    </w:p>
    <w:p>
      <w:pPr>
        <w:pStyle w:val="FirstParagraph"/>
      </w:pPr>
      <w:r>
        <w:t xml:space="preserve">Results will be interpreted in the context of the unique challenges faced by SMEs in Colombia Bogotá, such as regulatory complexity, market competition, and cultural dynamics.</w:t>
      </w:r>
    </w:p>
    <w:bookmarkEnd w:id="34"/>
    <w:bookmarkStart w:id="35" w:name="expected-outcomes-and-implications"/>
    <w:p>
      <w:pPr>
        <w:pStyle w:val="Heading2"/>
      </w:pPr>
      <w:r>
        <w:t xml:space="preserve">7. Expected Outcomes and Implications</w:t>
      </w:r>
    </w:p>
    <w:p>
      <w:pPr>
        <w:pStyle w:val="FirstParagraph"/>
      </w:pPr>
      <w:r>
        <w:t xml:space="preserve">This experiment aims to provide evidence-based insights into the value of Business Consultant services for SMEs in Colombia Bogotá. Expected outcomes include:</w:t>
      </w:r>
    </w:p>
    <w:p>
      <w:pPr>
        <w:numPr>
          <w:ilvl w:val="0"/>
          <w:numId w:val="1009"/>
        </w:numPr>
        <w:pStyle w:val="Compact"/>
      </w:pPr>
      <w:r>
        <w:t xml:space="preserve">Identification of best practices for consulting interventions tailored to the Colombian market.</w:t>
      </w:r>
    </w:p>
    <w:p>
      <w:pPr>
        <w:numPr>
          <w:ilvl w:val="0"/>
          <w:numId w:val="1009"/>
        </w:numPr>
        <w:pStyle w:val="Compact"/>
      </w:pPr>
      <w:r>
        <w:t xml:space="preserve">Recommendations for policymakers on how to support SME growth through consulting initiatives.</w:t>
      </w:r>
    </w:p>
    <w:p>
      <w:pPr>
        <w:numPr>
          <w:ilvl w:val="0"/>
          <w:numId w:val="1009"/>
        </w:numPr>
        <w:pStyle w:val="Compact"/>
      </w:pPr>
      <w:r>
        <w:t xml:space="preserve">Guidance for consulting firms on how to enhance their service offerings to better meet the needs of SMEs in Bogotá.</w:t>
      </w:r>
    </w:p>
    <w:p>
      <w:pPr>
        <w:pStyle w:val="FirstParagraph"/>
      </w:pPr>
      <w:r>
        <w:t xml:space="preserve">By focusing on this specific geographic and professional domain, the study seeks to contribute to the broader understanding of how consulting can drive economic development in emerging markets.</w:t>
      </w:r>
    </w:p>
    <w:bookmarkEnd w:id="35"/>
    <w:bookmarkStart w:id="36" w:name="conclusion"/>
    <w:p>
      <w:pPr>
        <w:pStyle w:val="Heading2"/>
      </w:pPr>
      <w:r>
        <w:t xml:space="preserve">8. Conclusion</w:t>
      </w:r>
    </w:p>
    <w:p>
      <w:pPr>
        <w:pStyle w:val="FirstParagraph"/>
      </w:pPr>
      <w:r>
        <w:t xml:space="preserve">This Experiment Protocol provides a comprehensive framework for evaluating the impact of Business Consultant interventions on SMEs in Colombia Bogotá. By employing rigorous methodologies and considering the unique context of the region, the study aims to generate valuable insights that can inform both academic research and practical business strategies. The findings will contribute to the ongoing discourse on how consulting can play a pivotal role in fostering economic growth and resilience in emerging markets.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Bogotá, Colombia</dc:title>
  <dc:creator/>
  <dc:language>en</dc:language>
  <cp:keywords/>
  <dcterms:created xsi:type="dcterms:W3CDTF">2026-10-10T07:35:47Z</dcterms:created>
  <dcterms:modified xsi:type="dcterms:W3CDTF">2026-10-10T07:35:47Z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