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Kinshasa</w:t>
      </w:r>
    </w:p>
    <w:bookmarkStart w:id="20" w:name="Xc6d76609b5480307c24cfcfedd9b08ae6853091"/>
    <w:p>
      <w:pPr>
        <w:pStyle w:val="Heading1"/>
      </w:pPr>
      <w:r>
        <w:t xml:space="preserve">Experiment Protocol: Impact Assessment of Business Consultant Interventions on SME Growth in DR Congo Kinshasa</w:t>
      </w:r>
    </w:p>
    <w:p>
      <w:pPr>
        <w:pStyle w:val="FirstParagraph"/>
      </w:pPr>
      <w:r>
        <w:rPr>
          <w:bCs/>
          <w:b/>
        </w:rPr>
        <w:t xml:space="preserve">Protocol ID:</w:t>
      </w:r>
      <w:r>
        <w:t xml:space="preserve"> </w:t>
      </w:r>
      <w:r>
        <w:t xml:space="preserve">KIN-BIZ-EXP-2024-001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Kinshasa, Democratic Republic of the Congo</w:t>
      </w:r>
    </w:p>
    <w:bookmarkEnd w:id="20"/>
    <w:bookmarkStart w:id="21" w:name="introduction-and-background"/>
    <w:p>
      <w:pPr>
        <w:pStyle w:val="Heading2"/>
      </w:pPr>
      <w:r>
        <w:t xml:space="preserve">1. Introduction and Background</w:t>
      </w:r>
    </w:p>
    <w:p>
      <w:pPr>
        <w:pStyle w:val="FirstParagraph"/>
      </w:pPr>
      <w:r>
        <w:t xml:space="preserve">The economic landscape of the Democratic Republic of the Congo (DRC) is characterized by immense potential, yet Small and Medium-sized Enterprises (SMEs) in Kinshasa face significant structural challenges. These include regulatory complexity, infrastructure deficits, and limited access to formal financial markets. While the role of the Business Consultant is theoretically understood as a catalyst for organizational efficiency and strategic growth, empirical data regarding their specific impact within the unique socio-economic context of Kinshasa remains scarce.</w:t>
      </w:r>
    </w:p>
    <w:p>
      <w:pPr>
        <w:pStyle w:val="BodyText"/>
      </w:pPr>
      <w:r>
        <w:t xml:space="preserve">This Experiment Protocol outlines a rigorous framework to evaluate the efficacy of Business Consultant interventions on SME performance in Kinshasa. The study aims to move beyond anecdotal evidence to provide quantifiable metrics on how professional consulting services influence revenue growth, operational stability, and regulatory compliance in this specific region.</w:t>
      </w:r>
    </w:p>
    <w:bookmarkEnd w:id="21"/>
    <w:bookmarkStart w:id="22" w:name="objectives"/>
    <w:p>
      <w:pPr>
        <w:pStyle w:val="Heading2"/>
      </w:pPr>
      <w:r>
        <w:t xml:space="preserve">2. Objectives</w:t>
      </w:r>
    </w:p>
    <w:p>
      <w:pPr>
        <w:pStyle w:val="FirstParagraph"/>
      </w:pPr>
      <w:r>
        <w:t xml:space="preserve">The primary objective of this experiment is to determine the causal relationship between structured Business Consultant engagement and key performance indicators (KPIs) of SMEs in Kinshasa. Specific objectives include:</w:t>
      </w:r>
    </w:p>
    <w:p>
      <w:pPr>
        <w:numPr>
          <w:ilvl w:val="0"/>
          <w:numId w:val="1001"/>
        </w:numPr>
        <w:pStyle w:val="Compact"/>
      </w:pPr>
      <w:r>
        <w:t xml:space="preserve">To measure the change in monthly revenue and profit margins for SMEs engaging with consultants versus those that do not.</w:t>
      </w:r>
    </w:p>
    <w:p>
      <w:pPr>
        <w:numPr>
          <w:ilvl w:val="0"/>
          <w:numId w:val="1001"/>
        </w:numPr>
        <w:pStyle w:val="Compact"/>
      </w:pPr>
      <w:r>
        <w:t xml:space="preserve">To assess improvements in administrative and regulatory compliance (e.g., tax registration, labor law adherence) facilitated by consultants.</w:t>
      </w:r>
    </w:p>
    <w:p>
      <w:pPr>
        <w:numPr>
          <w:ilvl w:val="0"/>
          <w:numId w:val="1001"/>
        </w:numPr>
        <w:pStyle w:val="Compact"/>
      </w:pPr>
      <w:r>
        <w:t xml:space="preserve">To evaluate the impact of consulting on digital adoption and modern management practices within Kinshasa's informal-to-formal transition sector.</w:t>
      </w:r>
    </w:p>
    <w:p>
      <w:pPr>
        <w:numPr>
          <w:ilvl w:val="0"/>
          <w:numId w:val="1001"/>
        </w:numPr>
        <w:pStyle w:val="Compact"/>
      </w:pPr>
      <w:r>
        <w:t xml:space="preserve">To identify specific cultural and logistical barriers in DR Congo Kinshasa that may hinder or enhance the effectiveness of external advisory services.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considered the gold standard for impact evaluation. The experiment will run for a period of 12 months to account for seasonal economic fluctuations in Kinshasa.</w:t>
      </w:r>
    </w:p>
    <w:bookmarkEnd w:id="23"/>
    <w:bookmarkStart w:id="24" w:name="target-population"/>
    <w:p>
      <w:pPr>
        <w:pStyle w:val="Heading3"/>
      </w:pPr>
      <w:r>
        <w:t xml:space="preserve">3.2 Target Population</w:t>
      </w:r>
    </w:p>
    <w:p>
      <w:pPr>
        <w:pStyle w:val="FirstParagraph"/>
      </w:pPr>
      <w:r>
        <w:t xml:space="preserve">The target population consists of SMEs operating in the Gombe and Limete communes of Kinshasa. These areas were selected due to their high density of commercial activity and diverse economic sectors, including retail, light manufacturing, and services. Eligibility criteria include:</w:t>
      </w:r>
    </w:p>
    <w:p>
      <w:pPr>
        <w:numPr>
          <w:ilvl w:val="0"/>
          <w:numId w:val="1002"/>
        </w:numPr>
        <w:pStyle w:val="Compact"/>
      </w:pPr>
      <w:r>
        <w:t xml:space="preserve">Established for at least 2 years.</w:t>
      </w:r>
    </w:p>
    <w:p>
      <w:pPr>
        <w:numPr>
          <w:ilvl w:val="0"/>
          <w:numId w:val="1002"/>
        </w:numPr>
        <w:pStyle w:val="Compact"/>
      </w:pPr>
      <w:r>
        <w:t xml:space="preserve">Employing between 5 and 50 staff members.</w:t>
      </w:r>
    </w:p>
    <w:p>
      <w:pPr>
        <w:numPr>
          <w:ilvl w:val="0"/>
          <w:numId w:val="1002"/>
        </w:numPr>
        <w:pStyle w:val="Compact"/>
      </w:pPr>
      <w:r>
        <w:t xml:space="preserve">Not currently engaged with a full-time external Business Consultant.</w:t>
      </w:r>
    </w:p>
    <w:bookmarkEnd w:id="24"/>
    <w:bookmarkStart w:id="25" w:name="sampling-and-randomization"/>
    <w:p>
      <w:pPr>
        <w:pStyle w:val="Heading3"/>
      </w:pPr>
      <w:r>
        <w:t xml:space="preserve">3.3 Sampling and Randomization</w:t>
      </w:r>
    </w:p>
    <w:p>
      <w:pPr>
        <w:pStyle w:val="FirstParagraph"/>
      </w:pPr>
      <w:r>
        <w:t xml:space="preserve">A total of 200 eligible SMEs will be recruited. Participants will be randomly assigned to one of two groups:</w:t>
      </w:r>
    </w:p>
    <w:p>
      <w:pPr>
        <w:numPr>
          <w:ilvl w:val="0"/>
          <w:numId w:val="1003"/>
        </w:numPr>
        <w:pStyle w:val="Compact"/>
      </w:pPr>
      <w:r>
        <w:rPr>
          <w:bCs/>
          <w:b/>
        </w:rPr>
        <w:t xml:space="preserve">Treatment Group (n=100):</w:t>
      </w:r>
      <w:r>
        <w:t xml:space="preserve"> </w:t>
      </w:r>
      <w:r>
        <w:t xml:space="preserve">These SMEs will receive subsidized access to a vetted Business Consultant for a duration of 6 months. The consultant will provide services in strategic planning, financial management, and regulatory navigation.</w:t>
      </w:r>
    </w:p>
    <w:p>
      <w:pPr>
        <w:numPr>
          <w:ilvl w:val="0"/>
          <w:numId w:val="1003"/>
        </w:numPr>
        <w:pStyle w:val="Compact"/>
      </w:pPr>
      <w:r>
        <w:rPr>
          <w:bCs/>
          <w:b/>
        </w:rPr>
        <w:t xml:space="preserve">Control Group (n=100):</w:t>
      </w:r>
      <w:r>
        <w:t xml:space="preserve"> </w:t>
      </w:r>
      <w:r>
        <w:t xml:space="preserve">These SMEs will continue their operations without external consulting intervention but will be offered the consulting package after the 12-month study period.</w:t>
      </w:r>
    </w:p>
    <w:bookmarkEnd w:id="25"/>
    <w:bookmarkEnd w:id="26"/>
    <w:bookmarkStart w:id="27" w:name="intervention-protocol"/>
    <w:p>
      <w:pPr>
        <w:pStyle w:val="Heading2"/>
      </w:pPr>
      <w:r>
        <w:t xml:space="preserve">4. Intervention Protocol</w:t>
      </w:r>
    </w:p>
    <w:p>
      <w:pPr>
        <w:pStyle w:val="FirstParagraph"/>
      </w:pPr>
      <w:r>
        <w:t xml:space="preserve">The intervention for the Treatment Group is standardized to ensure consistency. The Business Consultant must adhere to the following engagement model:</w:t>
      </w:r>
    </w:p>
    <w:p>
      <w:pPr>
        <w:numPr>
          <w:ilvl w:val="0"/>
          <w:numId w:val="1004"/>
        </w:numPr>
        <w:pStyle w:val="Compact"/>
      </w:pPr>
      <w:r>
        <w:rPr>
          <w:bCs/>
          <w:b/>
        </w:rPr>
        <w:t xml:space="preserve">Phase 1: Diagnostic (Month 1):</w:t>
      </w:r>
      <w:r>
        <w:t xml:space="preserve"> </w:t>
      </w:r>
      <w:r>
        <w:t xml:space="preserve">Comprehensive audit of current business processes, financial health, and legal standing within the DRC regulatory framework.</w:t>
      </w:r>
    </w:p>
    <w:p>
      <w:pPr>
        <w:numPr>
          <w:ilvl w:val="0"/>
          <w:numId w:val="1004"/>
        </w:numPr>
        <w:pStyle w:val="Compact"/>
      </w:pPr>
      <w:r>
        <w:rPr>
          <w:bCs/>
          <w:b/>
        </w:rPr>
        <w:t xml:space="preserve">Phase 2: Strategy Formulation (Month 2):</w:t>
      </w:r>
      <w:r>
        <w:t xml:space="preserve"> </w:t>
      </w:r>
      <w:r>
        <w:t xml:space="preserve">Development of a tailored action plan addressing specific pain points identified in the diagnostic phase.</w:t>
      </w:r>
    </w:p>
    <w:p>
      <w:pPr>
        <w:numPr>
          <w:ilvl w:val="0"/>
          <w:numId w:val="1004"/>
        </w:numPr>
        <w:pStyle w:val="Compact"/>
      </w:pPr>
      <w:r>
        <w:rPr>
          <w:bCs/>
          <w:b/>
        </w:rPr>
        <w:t xml:space="preserve">Phase 3: Implementation Support (Months 3-5):</w:t>
      </w:r>
      <w:r>
        <w:t xml:space="preserve"> </w:t>
      </w:r>
      <w:r>
        <w:t xml:space="preserve">Active assistance in executing the strategy, including staff training, software implementation, and liaison with government authorities.</w:t>
      </w:r>
    </w:p>
    <w:p>
      <w:pPr>
        <w:numPr>
          <w:ilvl w:val="0"/>
          <w:numId w:val="1004"/>
        </w:numPr>
        <w:pStyle w:val="Compact"/>
      </w:pPr>
      <w:r>
        <w:rPr>
          <w:bCs/>
          <w:b/>
        </w:rPr>
        <w:t xml:space="preserve">Phase 4: Review and Handover (Month 6):</w:t>
      </w:r>
      <w:r>
        <w:t xml:space="preserve"> </w:t>
      </w:r>
      <w:r>
        <w:t xml:space="preserve">Final assessment of progress and training of internal staff to maintain improvements.</w:t>
      </w:r>
    </w:p>
    <w:p>
      <w:pPr>
        <w:pStyle w:val="FirstParagraph"/>
      </w:pPr>
      <w:r>
        <w:t xml:space="preserve">All consultants participating in this experiment must be certified professionals with prior experience operating in DR Congo Kinshasa to ensure cultural and contextual relevance.</w:t>
      </w:r>
    </w:p>
    <w:bookmarkEnd w:id="27"/>
    <w:bookmarkStart w:id="28" w:name="data-collection-and-metrics"/>
    <w:p>
      <w:pPr>
        <w:pStyle w:val="Heading2"/>
      </w:pPr>
      <w:r>
        <w:t xml:space="preserve">5. Data Collection and Metrics</w:t>
      </w:r>
    </w:p>
    <w:p>
      <w:pPr>
        <w:pStyle w:val="FirstParagraph"/>
      </w:pPr>
      <w:r>
        <w:t xml:space="preserve">Data will be collected at three intervals: Baseline (T0), Mid-term (T6), and End-line (T12). The following metrics will be tracked:</w:t>
      </w:r>
    </w:p>
    <w:p>
      <w:pPr>
        <w:numPr>
          <w:ilvl w:val="0"/>
          <w:numId w:val="1005"/>
        </w:numPr>
        <w:pStyle w:val="Compact"/>
      </w:pPr>
      <w:r>
        <w:rPr>
          <w:bCs/>
          <w:b/>
        </w:rPr>
        <w:t xml:space="preserve">Financial Metrics:</w:t>
      </w:r>
      <w:r>
        <w:t xml:space="preserve"> </w:t>
      </w:r>
      <w:r>
        <w:t xml:space="preserve">Gross revenue, net profit, cash flow stability, and access to credit.</w:t>
      </w:r>
    </w:p>
    <w:p>
      <w:pPr>
        <w:numPr>
          <w:ilvl w:val="0"/>
          <w:numId w:val="1005"/>
        </w:numPr>
        <w:pStyle w:val="Compact"/>
      </w:pPr>
      <w:r>
        <w:rPr>
          <w:bCs/>
          <w:b/>
        </w:rPr>
        <w:t xml:space="preserve">Operational Metrics:</w:t>
      </w:r>
      <w:r>
        <w:t xml:space="preserve"> </w:t>
      </w:r>
      <w:r>
        <w:t xml:space="preserve">Employee turnover rates, production efficiency, and inventory management accuracy.</w:t>
      </w:r>
    </w:p>
    <w:p>
      <w:pPr>
        <w:numPr>
          <w:ilvl w:val="0"/>
          <w:numId w:val="1005"/>
        </w:numPr>
        <w:pStyle w:val="Compact"/>
      </w:pPr>
      <w:r>
        <w:rPr>
          <w:bCs/>
          <w:b/>
        </w:rPr>
        <w:t xml:space="preserve">Compliance Metrics:</w:t>
      </w:r>
      <w:r>
        <w:t xml:space="preserve"> </w:t>
      </w:r>
      <w:r>
        <w:t xml:space="preserve">Status of tax filings, labor contract formalization, and business license renewals.</w:t>
      </w:r>
    </w:p>
    <w:p>
      <w:pPr>
        <w:numPr>
          <w:ilvl w:val="0"/>
          <w:numId w:val="1005"/>
        </w:numPr>
        <w:pStyle w:val="Compact"/>
      </w:pPr>
      <w:r>
        <w:rPr>
          <w:bCs/>
          <w:b/>
        </w:rPr>
        <w:t xml:space="preserve">Qualitative Metrics:</w:t>
      </w:r>
      <w:r>
        <w:t xml:space="preserve"> </w:t>
      </w:r>
      <w:r>
        <w:t xml:space="preserve">Owner satisfaction surveys and perceived reduction in operational stress.</w:t>
      </w:r>
    </w:p>
    <w:p>
      <w:pPr>
        <w:pStyle w:val="FirstParagraph"/>
      </w:pPr>
      <w:r>
        <w:t xml:space="preserve">Data collection will be conducted via secure digital forms and in-person interviews to accommodate varying levels of digital literacy among participants.</w:t>
      </w:r>
    </w:p>
    <w:bookmarkEnd w:id="28"/>
    <w:bookmarkStart w:id="29" w:name="ethical-considerations"/>
    <w:p>
      <w:pPr>
        <w:pStyle w:val="Heading2"/>
      </w:pPr>
      <w:r>
        <w:t xml:space="preserve">6. Ethical Considerations</w:t>
      </w:r>
    </w:p>
    <w:p>
      <w:pPr>
        <w:pStyle w:val="FirstParagraph"/>
      </w:pPr>
      <w:r>
        <w:t xml:space="preserve">This experiment adheres to strict ethical guidelines. All participants will provide informed consent, clearly understanding the nature of the study and their right to withdraw at any time. Confidentiality of business data is paramount; all financial and operational information will be anonymized and stored securely. The study has been reviewed to ensure it respects local customs and labor laws in the Democratic Republic of the Congo.</w:t>
      </w:r>
    </w:p>
    <w:bookmarkEnd w:id="29"/>
    <w:bookmarkStart w:id="30" w:name="risk-management"/>
    <w:p>
      <w:pPr>
        <w:pStyle w:val="Heading2"/>
      </w:pPr>
      <w:r>
        <w:t xml:space="preserve">7. Risk Management</w:t>
      </w:r>
    </w:p>
    <w:p>
      <w:pPr>
        <w:pStyle w:val="FirstParagraph"/>
      </w:pPr>
      <w:r>
        <w:t xml:space="preserve">Given the dynamic environment of Kinshasa, potential risks include political instability, infrastructure disruptions (such as power outages), and economic volatility. Mitigation strategies include:</w:t>
      </w:r>
    </w:p>
    <w:p>
      <w:pPr>
        <w:numPr>
          <w:ilvl w:val="0"/>
          <w:numId w:val="1006"/>
        </w:numPr>
        <w:pStyle w:val="Compact"/>
      </w:pPr>
      <w:r>
        <w:t xml:space="preserve">Flexible scheduling for data collection and consultant visits.</w:t>
      </w:r>
    </w:p>
    <w:p>
      <w:pPr>
        <w:numPr>
          <w:ilvl w:val="0"/>
          <w:numId w:val="1006"/>
        </w:numPr>
        <w:pStyle w:val="Compact"/>
      </w:pPr>
      <w:r>
        <w:t xml:space="preserve">Use of offline-capable data collection tools.</w:t>
      </w:r>
    </w:p>
    <w:p>
      <w:pPr>
        <w:numPr>
          <w:ilvl w:val="0"/>
          <w:numId w:val="1006"/>
        </w:numPr>
        <w:pStyle w:val="Compact"/>
      </w:pPr>
      <w:r>
        <w:t xml:space="preserve">Regular safety briefings for all field researchers and consultants.</w:t>
      </w:r>
    </w:p>
    <w:bookmarkEnd w:id="30"/>
    <w:bookmarkStart w:id="31" w:name="expected-outcomes-and-dissemination"/>
    <w:p>
      <w:pPr>
        <w:pStyle w:val="Heading2"/>
      </w:pPr>
      <w:r>
        <w:t xml:space="preserve">8. Expected Outcomes and Dissemination</w:t>
      </w:r>
    </w:p>
    <w:p>
      <w:pPr>
        <w:pStyle w:val="FirstParagraph"/>
      </w:pPr>
      <w:r>
        <w:t xml:space="preserve">This experiment aims to produce a comprehensive report detailing the ROI of Business Consultant services in Kinshasa. The findings will be disseminated to local government bodies, international development agencies, and the private sector to inform policy and investment decisions. Ultimately, this protocol seeks to validate the Business Consultant as a critical infrastructure component for sustainable economic development in DR Congo Kinshasa.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Kinshasa</dc:title>
  <dc:creator/>
  <dc:language>en</dc:language>
  <cp:keywords/>
  <dcterms:created xsi:type="dcterms:W3CDTF">2026-10-10T08:30:58Z</dcterms:created>
  <dcterms:modified xsi:type="dcterms:W3CDTF">2026-10-10T08:30:58Z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