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Egypt</w:t>
      </w:r>
      <w:r>
        <w:t xml:space="preserve"> </w:t>
      </w:r>
      <w:r>
        <w:t xml:space="preserve">Alexandria</w:t>
      </w:r>
    </w:p>
    <w:bookmarkStart w:id="20" w:name="X6a12096f01ff2683318d0a75dd48056fa6345aa"/>
    <w:p>
      <w:pPr>
        <w:pStyle w:val="Heading1"/>
      </w:pPr>
      <w:r>
        <w:t xml:space="preserve">Experiment Protocol: Evaluating the Impact of Business Consultant Interventions on SME Growth in Egypt Alexandria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Alexandria, Egypt</w:t>
      </w:r>
      <w:r>
        <w:br/>
      </w:r>
      <w:r>
        <w:rPr>
          <w:bCs/>
          <w:b/>
        </w:rPr>
        <w:t xml:space="preserve">Prepared By:</w:t>
      </w:r>
      <w:r>
        <w:t xml:space="preserve"> </w:t>
      </w:r>
      <w:r>
        <w:t xml:space="preserve">Research and Development Division</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effectiveness of professional Business Consultant services on Small and Medium Enterprises (SMEs) located in Egypt Alexandria. Alexandria, as Egypt's second-largest city and a primary economic hub on the Mediterranean coast, presents a unique market environment characterized by a blend of traditional trade practices and emerging digital economies. The local business landscape is heavily influenced by specific cultural nuances, regulatory frameworks, and logistical dynamics distinct from Cairo or other governorates.</w:t>
      </w:r>
    </w:p>
    <w:p>
      <w:pPr>
        <w:pStyle w:val="BodyText"/>
      </w:pPr>
      <w:r>
        <w:t xml:space="preserve">The role of the Business Consultant in this context is critical. Consultants are expected to bridge the gap between local operational realities and global best practices. However, empirical data regarding the tangible return on investment (ROI) of consulting engagements in this specific geographic region is limited. This experiment aims to quantify the value added by consultants in areas such as operational efficiency, market expansion, and financial restructuring within the Alexandria market.</w:t>
      </w:r>
    </w:p>
    <w:bookmarkEnd w:id="21"/>
    <w:bookmarkStart w:id="22" w:name="objectives"/>
    <w:p>
      <w:pPr>
        <w:pStyle w:val="Heading2"/>
      </w:pPr>
      <w:r>
        <w:t xml:space="preserve">2. Objectives</w:t>
      </w:r>
    </w:p>
    <w:p>
      <w:pPr>
        <w:pStyle w:val="FirstParagraph"/>
      </w:pPr>
      <w:r>
        <w:t xml:space="preserve">The primary objective of this study is to determine the causal relationship between structured Business Consultant interventions and measurable business performance indicators in Egypt Alexandria. Specific goals include:</w:t>
      </w:r>
    </w:p>
    <w:p>
      <w:pPr>
        <w:numPr>
          <w:ilvl w:val="0"/>
          <w:numId w:val="1001"/>
        </w:numPr>
        <w:pStyle w:val="Compact"/>
      </w:pPr>
      <w:r>
        <w:t xml:space="preserve">To evaluate the impact of consulting on revenue growth and cost reduction over a six-month period.</w:t>
      </w:r>
    </w:p>
    <w:p>
      <w:pPr>
        <w:numPr>
          <w:ilvl w:val="0"/>
          <w:numId w:val="1001"/>
        </w:numPr>
        <w:pStyle w:val="Compact"/>
      </w:pPr>
      <w:r>
        <w:t xml:space="preserve">To assess the adaptability of standard consulting methodologies to the unique cultural and economic context of Alexandria.</w:t>
      </w:r>
    </w:p>
    <w:p>
      <w:pPr>
        <w:numPr>
          <w:ilvl w:val="0"/>
          <w:numId w:val="1001"/>
        </w:numPr>
        <w:pStyle w:val="Compact"/>
      </w:pPr>
      <w:r>
        <w:t xml:space="preserve">To identify key success factors and barriers to implementation specific to local stakeholders.</w:t>
      </w:r>
    </w:p>
    <w:p>
      <w:pPr>
        <w:numPr>
          <w:ilvl w:val="0"/>
          <w:numId w:val="1001"/>
        </w:numPr>
        <w:pStyle w:val="Compact"/>
      </w:pPr>
      <w:r>
        <w:t xml:space="preserve">To provide a data-driven framework for future consulting engagements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utilize a randomized controlled trial (RCT) design. Participating SMEs will be randomly assigned to either a Treatment Group or a Control Group. The Treatment Group will engage with a certified Business Consultant for a defined period, while the Control Group will continue operations without external consulting intervention.</w:t>
      </w:r>
    </w:p>
    <w:bookmarkEnd w:id="23"/>
    <w:bookmarkStart w:id="24" w:name="participant-selection"/>
    <w:p>
      <w:pPr>
        <w:pStyle w:val="Heading3"/>
      </w:pPr>
      <w:r>
        <w:t xml:space="preserve">3.2 Participant Selection</w:t>
      </w:r>
    </w:p>
    <w:p>
      <w:pPr>
        <w:pStyle w:val="FirstParagraph"/>
      </w:pPr>
      <w:r>
        <w:t xml:space="preserve">Participants will be selected from various sectors prevalent in Egypt Alexandria, including manufacturing, logistics, retail, and tourism. Inclusion criteria require that businesses have been operational for at least three years, employ between 10 and 50 staff members, and demonstrate a willingness to share financial and operational data. Exclusion criteria include businesses undergoing bankruptcy proceedings or those already engaged with external consultants.</w:t>
      </w:r>
    </w:p>
    <w:bookmarkEnd w:id="24"/>
    <w:bookmarkStart w:id="25" w:name="intervention-protocol"/>
    <w:p>
      <w:pPr>
        <w:pStyle w:val="Heading3"/>
      </w:pPr>
      <w:r>
        <w:t xml:space="preserve">3.3 Intervention Protocol</w:t>
      </w:r>
    </w:p>
    <w:p>
      <w:pPr>
        <w:pStyle w:val="FirstParagraph"/>
      </w:pPr>
      <w:r>
        <w:t xml:space="preserve">The Business Consultant assigned to the Treatment Group will follow a standardized intervention protocol tailored to the local context. This includes:</w:t>
      </w:r>
    </w:p>
    <w:p>
      <w:pPr>
        <w:numPr>
          <w:ilvl w:val="0"/>
          <w:numId w:val="1002"/>
        </w:numPr>
        <w:pStyle w:val="Compact"/>
      </w:pPr>
      <w:r>
        <w:rPr>
          <w:bCs/>
          <w:b/>
        </w:rPr>
        <w:t xml:space="preserve">Diagnostic Phase:</w:t>
      </w:r>
      <w:r>
        <w:t xml:space="preserve"> </w:t>
      </w:r>
      <w:r>
        <w:t xml:space="preserve">Comprehensive analysis of current operations, financial health, and market positioning within Alexandria.</w:t>
      </w:r>
    </w:p>
    <w:p>
      <w:pPr>
        <w:numPr>
          <w:ilvl w:val="0"/>
          <w:numId w:val="1002"/>
        </w:numPr>
        <w:pStyle w:val="Compact"/>
      </w:pPr>
      <w:r>
        <w:rPr>
          <w:bCs/>
          <w:b/>
        </w:rPr>
        <w:t xml:space="preserve">Strategy Formulation:</w:t>
      </w:r>
      <w:r>
        <w:t xml:space="preserve"> </w:t>
      </w:r>
      <w:r>
        <w:t xml:space="preserve">Development of actionable strategies addressing local supply chain challenges, customer acquisition, and regulatory compliance.</w:t>
      </w:r>
    </w:p>
    <w:p>
      <w:pPr>
        <w:numPr>
          <w:ilvl w:val="0"/>
          <w:numId w:val="1002"/>
        </w:numPr>
        <w:pStyle w:val="Compact"/>
      </w:pPr>
      <w:r>
        <w:rPr>
          <w:bCs/>
          <w:b/>
        </w:rPr>
        <w:t xml:space="preserve">Implementation Support:</w:t>
      </w:r>
      <w:r>
        <w:t xml:space="preserve"> </w:t>
      </w:r>
      <w:r>
        <w:t xml:space="preserve">Hands-on guidance during the execution of new processes, ensuring alignment with local workforce capabilities.</w:t>
      </w:r>
    </w:p>
    <w:p>
      <w:pPr>
        <w:numPr>
          <w:ilvl w:val="0"/>
          <w:numId w:val="1002"/>
        </w:numPr>
        <w:pStyle w:val="Compact"/>
      </w:pPr>
      <w:r>
        <w:rPr>
          <w:bCs/>
          <w:b/>
        </w:rPr>
        <w:t xml:space="preserve">Monitoring and Adjustment:</w:t>
      </w:r>
      <w:r>
        <w:t xml:space="preserve"> </w:t>
      </w:r>
      <w:r>
        <w:t xml:space="preserve">Regular reviews to adapt strategies based on real-time feedback and market conditions.</w:t>
      </w:r>
    </w:p>
    <w:bookmarkEnd w:id="25"/>
    <w:bookmarkEnd w:id="26"/>
    <w:bookmarkStart w:id="27" w:name="data-collection-and-metrics"/>
    <w:p>
      <w:pPr>
        <w:pStyle w:val="Heading2"/>
      </w:pPr>
      <w:r>
        <w:t xml:space="preserve">4. Data Collection and Metrics</w:t>
      </w:r>
    </w:p>
    <w:p>
      <w:pPr>
        <w:pStyle w:val="FirstParagraph"/>
      </w:pPr>
      <w:r>
        <w:t xml:space="preserve">Data will be collected at three intervals: baseline (pre-intervention), mid-point (three months), and post-intervention (six months). Key performance indicators (KPIs) include:</w:t>
      </w:r>
    </w:p>
    <w:p>
      <w:pPr>
        <w:numPr>
          <w:ilvl w:val="0"/>
          <w:numId w:val="1003"/>
        </w:numPr>
        <w:pStyle w:val="Compact"/>
      </w:pPr>
      <w:r>
        <w:rPr>
          <w:bCs/>
          <w:b/>
        </w:rPr>
        <w:t xml:space="preserve">Financial Metrics:</w:t>
      </w:r>
      <w:r>
        <w:t xml:space="preserve"> </w:t>
      </w:r>
      <w:r>
        <w:t xml:space="preserve">Revenue growth, profit margins, and cost savings.</w:t>
      </w:r>
    </w:p>
    <w:p>
      <w:pPr>
        <w:numPr>
          <w:ilvl w:val="0"/>
          <w:numId w:val="1003"/>
        </w:numPr>
        <w:pStyle w:val="Compact"/>
      </w:pPr>
      <w:r>
        <w:rPr>
          <w:bCs/>
          <w:b/>
        </w:rPr>
        <w:t xml:space="preserve">Operational Metrics:</w:t>
      </w:r>
      <w:r>
        <w:t xml:space="preserve"> </w:t>
      </w:r>
      <w:r>
        <w:t xml:space="preserve">Process efficiency, employee productivity, and customer satisfaction scores.</w:t>
      </w:r>
    </w:p>
    <w:p>
      <w:pPr>
        <w:numPr>
          <w:ilvl w:val="0"/>
          <w:numId w:val="1003"/>
        </w:numPr>
        <w:pStyle w:val="Compact"/>
      </w:pPr>
      <w:r>
        <w:rPr>
          <w:bCs/>
          <w:b/>
        </w:rPr>
        <w:t xml:space="preserve">Strategic Metrics:</w:t>
      </w:r>
      <w:r>
        <w:t xml:space="preserve"> </w:t>
      </w:r>
      <w:r>
        <w:t xml:space="preserve">Market share expansion and successful implementation of new initiatives.</w:t>
      </w:r>
    </w:p>
    <w:p>
      <w:pPr>
        <w:pStyle w:val="FirstParagraph"/>
      </w:pPr>
      <w:r>
        <w:t xml:space="preserve">Qualitative data will also be gathered through interviews with business owners and employees to capture insights on the consultant's impact on organizational culture and decision-making processes.</w:t>
      </w:r>
    </w:p>
    <w:bookmarkEnd w:id="27"/>
    <w:bookmarkStart w:id="28" w:name="ethical-considerations"/>
    <w:p>
      <w:pPr>
        <w:pStyle w:val="Heading2"/>
      </w:pPr>
      <w:r>
        <w:t xml:space="preserve">5. Ethical Considerations</w:t>
      </w:r>
    </w:p>
    <w:p>
      <w:pPr>
        <w:pStyle w:val="FirstParagraph"/>
      </w:pPr>
      <w:r>
        <w:t xml:space="preserve">All participants will provide informed consent, acknowledging the purpose of the study and the use of their data. Confidentiality will be strictly maintained, with all data anonymized during analysis. The experiment adheres to ethical guidelines for business research, ensuring that no participant is disadvantaged by their involvement. Special attention will be paid to cultural sensitivities prevalent in Egypt Alexandria to ensure respectful and appropriate interactions.</w:t>
      </w:r>
    </w:p>
    <w:bookmarkEnd w:id="28"/>
    <w:bookmarkStart w:id="29" w:name="timeline"/>
    <w:p>
      <w:pPr>
        <w:pStyle w:val="Heading2"/>
      </w:pPr>
      <w:r>
        <w:t xml:space="preserve">6. Timeline</w:t>
      </w:r>
    </w:p>
    <w:p>
      <w:pPr>
        <w:pStyle w:val="FirstParagraph"/>
      </w:pPr>
      <w:r>
        <w:t xml:space="preserve">The experiment will span eight months, structured as follows:</w:t>
      </w:r>
    </w:p>
    <w:p>
      <w:pPr>
        <w:numPr>
          <w:ilvl w:val="0"/>
          <w:numId w:val="1004"/>
        </w:numPr>
        <w:pStyle w:val="Compact"/>
      </w:pPr>
      <w:r>
        <w:rPr>
          <w:bCs/>
          <w:b/>
        </w:rPr>
        <w:t xml:space="preserve">Months 1-2:</w:t>
      </w:r>
      <w:r>
        <w:t xml:space="preserve"> </w:t>
      </w:r>
      <w:r>
        <w:t xml:space="preserve">Recruitment, screening, and baseline data collection.</w:t>
      </w:r>
    </w:p>
    <w:p>
      <w:pPr>
        <w:numPr>
          <w:ilvl w:val="0"/>
          <w:numId w:val="1004"/>
        </w:numPr>
        <w:pStyle w:val="Compact"/>
      </w:pPr>
      <w:r>
        <w:rPr>
          <w:bCs/>
          <w:b/>
        </w:rPr>
        <w:t xml:space="preserve">Months 3-6:</w:t>
      </w:r>
      <w:r>
        <w:t xml:space="preserve"> </w:t>
      </w:r>
      <w:r>
        <w:t xml:space="preserve">Implementation of the consulting intervention for the Treatment Group.</w:t>
      </w:r>
    </w:p>
    <w:p>
      <w:pPr>
        <w:numPr>
          <w:ilvl w:val="0"/>
          <w:numId w:val="1004"/>
        </w:numPr>
        <w:pStyle w:val="Compact"/>
      </w:pPr>
      <w:r>
        <w:rPr>
          <w:bCs/>
          <w:b/>
        </w:rPr>
        <w:t xml:space="preserve">Month 7:</w:t>
      </w:r>
      <w:r>
        <w:t xml:space="preserve"> </w:t>
      </w:r>
      <w:r>
        <w:t xml:space="preserve">Post-intervention data collection and analysis.</w:t>
      </w:r>
    </w:p>
    <w:p>
      <w:pPr>
        <w:numPr>
          <w:ilvl w:val="0"/>
          <w:numId w:val="1004"/>
        </w:numPr>
        <w:pStyle w:val="Compact"/>
      </w:pPr>
      <w:r>
        <w:rPr>
          <w:bCs/>
          <w:b/>
        </w:rPr>
        <w:t xml:space="preserve">Month 8:</w:t>
      </w:r>
      <w:r>
        <w:t xml:space="preserve"> </w:t>
      </w:r>
      <w:r>
        <w:t xml:space="preserve">Reporting and dissemination of findings.</w:t>
      </w:r>
    </w:p>
    <w:bookmarkEnd w:id="29"/>
    <w:bookmarkStart w:id="30" w:name="expected-outcomes-and-significance"/>
    <w:p>
      <w:pPr>
        <w:pStyle w:val="Heading2"/>
      </w:pPr>
      <w:r>
        <w:t xml:space="preserve">7. Expected Outcomes and Significance</w:t>
      </w:r>
    </w:p>
    <w:p>
      <w:pPr>
        <w:pStyle w:val="FirstParagraph"/>
      </w:pPr>
      <w:r>
        <w:t xml:space="preserve">This Experiment Protocol anticipates generating robust evidence on the efficacy of Business Consultant services in Egypt Alexandria. By isolating the impact of consulting interventions, the study will provide valuable insights for local businesses, consulting firms, and policymakers. The findings will contribute to a deeper understanding of how external expertise can drive sustainable growth in emerging markets, ultimately fostering economic development in the region.</w:t>
      </w:r>
    </w:p>
    <w:p>
      <w:pPr>
        <w:pStyle w:val="BodyText"/>
      </w:pPr>
      <w:r>
        <w:t xml:space="preserve">Furthermore, the protocol emphasizes the importance of contextual adaptation, highlighting that successful consulting in Alexandria requires a nuanced understanding of local dynamics. This approach ensures that the recommendations derived from the study are practical, relevant, and actionable for stakeholders operating in this vibrant economic landscape.</w:t>
      </w:r>
    </w:p>
    <w:bookmarkEnd w:id="30"/>
    <w:bookmarkStart w:id="31" w:name="conclusion"/>
    <w:p>
      <w:pPr>
        <w:pStyle w:val="Heading2"/>
      </w:pPr>
      <w:r>
        <w:t xml:space="preserve">8. Conclusion</w:t>
      </w:r>
    </w:p>
    <w:p>
      <w:pPr>
        <w:pStyle w:val="FirstParagraph"/>
      </w:pPr>
      <w:r>
        <w:t xml:space="preserve">This Experiment Protocol establishes a rigorous framework for evaluating the role of Business Consultants in enhancing SME performance in Egypt Alexandria. By combining quantitative and qualitative methods, the study aims to deliver comprehensive insights that can inform future business strategies and consulting practices. The successful execution of this protocol will not only benefit participating businesses but also contribute to the broader economic ecosystem of Alexandria, promoting innovation, efficiency, and growth.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Egypt Alexandria</dc:title>
  <dc:creator/>
  <dc:language>en</dc:language>
  <cp:keywords/>
  <dcterms:created xsi:type="dcterms:W3CDTF">2026-10-10T10:21:23Z</dcterms:created>
  <dcterms:modified xsi:type="dcterms:W3CDTF">2026-10-10T10:21:23Z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