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France</w:t>
      </w:r>
      <w:r>
        <w:t xml:space="preserve"> </w:t>
      </w:r>
      <w:r>
        <w:t xml:space="preserve">Lyon</w:t>
      </w:r>
    </w:p>
    <w:bookmarkStart w:id="21" w:name="experiment-protocol"/>
    <w:p>
      <w:pPr>
        <w:pStyle w:val="Heading1"/>
      </w:pPr>
      <w:r>
        <w:t xml:space="preserve">Experiment Protocol</w:t>
      </w:r>
    </w:p>
    <w:bookmarkStart w:id="20" w:name="Xb794de2a9732b5efeb54f24f8342eb9e8af5657"/>
    <w:p>
      <w:pPr>
        <w:pStyle w:val="Heading2"/>
      </w:pPr>
      <w:r>
        <w:t xml:space="preserve">Assessing the Impact of Business Consultant Interventions on SME Growth in France Lyon</w:t>
      </w:r>
    </w:p>
    <w:p>
      <w:pPr>
        <w:pStyle w:val="FirstParagraph"/>
      </w:pPr>
      <w:r>
        <w:rPr>
          <w:bCs/>
          <w:b/>
        </w:rPr>
        <w:t xml:space="preserve">Protocol ID:</w:t>
      </w:r>
      <w:r>
        <w:t xml:space="preserve"> </w:t>
      </w:r>
      <w:r>
        <w:t xml:space="preserve">LYON-BC-2024-001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Lyon, France</w:t>
      </w:r>
    </w:p>
    <w:bookmarkEnd w:id="20"/>
    <w:bookmarkEnd w:id="21"/>
    <w:bookmarkStart w:id="22" w:name="introduction-and-background"/>
    <w:p>
      <w:pPr>
        <w:pStyle w:val="Heading2"/>
      </w:pPr>
      <w:r>
        <w:t xml:space="preserve">1. Introduction and Background</w:t>
      </w:r>
    </w:p>
    <w:p>
      <w:pPr>
        <w:pStyle w:val="FirstParagraph"/>
      </w:pPr>
      <w:r>
        <w:t xml:space="preserve">The economic landscape of France Lyon is characterized by a vibrant ecosystem of Small and Medium-sized Enterprises (SMEs), particularly in the sectors of biotechnology, digital services, and luxury goods. Despite the availability of support structures, many SMEs in this region struggle with strategic scaling and operational efficiency. The role of the Business Consultant is often cited as a critical lever for growth; however, empirical data regarding the specific efficacy of consulting interventions within the unique cultural and regulatory context of France Lyon remains fragmented.</w:t>
      </w:r>
    </w:p>
    <w:p>
      <w:pPr>
        <w:pStyle w:val="BodyText"/>
      </w:pPr>
      <w:r>
        <w:t xml:space="preserve">This Experiment Protocol outlines a rigorous methodology to evaluate the tangible impact of Business Consultant engagements on SME performance metrics. By isolating variables and controlling for external economic factors, this study aims to provide actionable insights for stakeholders in the Lyon metropolitan area.</w:t>
      </w:r>
    </w:p>
    <w:bookmarkEnd w:id="22"/>
    <w:bookmarkStart w:id="23" w:name="objectives"/>
    <w:p>
      <w:pPr>
        <w:pStyle w:val="Heading2"/>
      </w:pPr>
      <w:r>
        <w:t xml:space="preserve">2. Objectives</w:t>
      </w:r>
    </w:p>
    <w:p>
      <w:pPr>
        <w:pStyle w:val="FirstParagraph"/>
      </w:pPr>
      <w:r>
        <w:t xml:space="preserve">The primary objective of this experiment is to quantify the value added by a Business Consultant to SMEs operating in France Lyon. Specific goals include:</w:t>
      </w:r>
    </w:p>
    <w:p>
      <w:pPr>
        <w:numPr>
          <w:ilvl w:val="0"/>
          <w:numId w:val="1001"/>
        </w:numPr>
        <w:pStyle w:val="Compact"/>
      </w:pPr>
      <w:r>
        <w:t xml:space="preserve">Measuring changes in revenue growth rates pre- and post-consulting intervention.</w:t>
      </w:r>
    </w:p>
    <w:p>
      <w:pPr>
        <w:numPr>
          <w:ilvl w:val="0"/>
          <w:numId w:val="1001"/>
        </w:numPr>
        <w:pStyle w:val="Compact"/>
      </w:pPr>
      <w:r>
        <w:t xml:space="preserve">Evaluating improvements in operational efficiency and cost reduction.</w:t>
      </w:r>
    </w:p>
    <w:p>
      <w:pPr>
        <w:numPr>
          <w:ilvl w:val="0"/>
          <w:numId w:val="1001"/>
        </w:numPr>
        <w:pStyle w:val="Compact"/>
      </w:pPr>
      <w:r>
        <w:t xml:space="preserve">Assessing the alignment of consulting strategies with the specific regulatory environment of France.</w:t>
      </w:r>
    </w:p>
    <w:p>
      <w:pPr>
        <w:numPr>
          <w:ilvl w:val="0"/>
          <w:numId w:val="1001"/>
        </w:numPr>
        <w:pStyle w:val="Compact"/>
      </w:pPr>
      <w:r>
        <w:t xml:space="preserve">Determining the correlation between consultant specialization and client success in the Lyon market.</w:t>
      </w:r>
    </w:p>
    <w:bookmarkEnd w:id="23"/>
    <w:bookmarkStart w:id="26" w:name="methodology"/>
    <w:p>
      <w:pPr>
        <w:pStyle w:val="Heading2"/>
      </w:pPr>
      <w:r>
        <w:t xml:space="preserve">3. Methodology</w:t>
      </w:r>
    </w:p>
    <w:p>
      <w:pPr>
        <w:pStyle w:val="FirstParagraph"/>
      </w:pPr>
      <w:r>
        <w:t xml:space="preserve">This study will employ a quasi-experimental design utilizing a control group and a treatment group. The experiment will take place over a period of twelve months, ensuring sufficient time to observe long-term effects of the Business Consultant's recommendations.</w:t>
      </w:r>
    </w:p>
    <w:bookmarkStart w:id="24" w:name="participant-selection"/>
    <w:p>
      <w:pPr>
        <w:pStyle w:val="Heading3"/>
      </w:pPr>
      <w:r>
        <w:t xml:space="preserve">3.1. Participant Selection</w:t>
      </w:r>
    </w:p>
    <w:p>
      <w:pPr>
        <w:pStyle w:val="FirstParagraph"/>
      </w:pPr>
      <w:r>
        <w:t xml:space="preserve">Participants will be SMEs located within the Lyon metropolitan area, including the 69001 to 69009 postal codes. To ensure homogeneity, participants must meet the following criteria:</w:t>
      </w:r>
    </w:p>
    <w:p>
      <w:pPr>
        <w:numPr>
          <w:ilvl w:val="0"/>
          <w:numId w:val="1002"/>
        </w:numPr>
        <w:pStyle w:val="Compact"/>
      </w:pPr>
      <w:r>
        <w:t xml:space="preserve">Employ between 10 and 50 employees.</w:t>
      </w:r>
    </w:p>
    <w:p>
      <w:pPr>
        <w:numPr>
          <w:ilvl w:val="0"/>
          <w:numId w:val="1002"/>
        </w:numPr>
        <w:pStyle w:val="Compact"/>
      </w:pPr>
      <w:r>
        <w:t xml:space="preserve">Have been operational for at least three years.</w:t>
      </w:r>
    </w:p>
    <w:p>
      <w:pPr>
        <w:numPr>
          <w:ilvl w:val="0"/>
          <w:numId w:val="1002"/>
        </w:numPr>
        <w:pStyle w:val="Compact"/>
      </w:pPr>
      <w:r>
        <w:t xml:space="preserve">Report an annual turnover between €500,000 and €5,000,000.</w:t>
      </w:r>
    </w:p>
    <w:p>
      <w:pPr>
        <w:numPr>
          <w:ilvl w:val="0"/>
          <w:numId w:val="1002"/>
        </w:numPr>
        <w:pStyle w:val="Compact"/>
      </w:pPr>
      <w:r>
        <w:t xml:space="preserve">Have not engaged a Business Consultant in the previous 24 months.</w:t>
      </w:r>
    </w:p>
    <w:p>
      <w:pPr>
        <w:pStyle w:val="FirstParagraph"/>
      </w:pPr>
      <w:r>
        <w:t xml:space="preserve">A total of 60 companies will be selected. They will be randomly assigned to either the Treatment Group (n=30), which will engage a certified Business Consultant, or the Control Group (n=30), which will continue operations without external consulting support.</w:t>
      </w:r>
    </w:p>
    <w:bookmarkEnd w:id="24"/>
    <w:bookmarkStart w:id="25" w:name="intervention-protocol"/>
    <w:p>
      <w:pPr>
        <w:pStyle w:val="Heading3"/>
      </w:pPr>
      <w:r>
        <w:t xml:space="preserve">3.2. Intervention Protocol</w:t>
      </w:r>
    </w:p>
    <w:p>
      <w:pPr>
        <w:pStyle w:val="FirstParagraph"/>
      </w:pPr>
      <w:r>
        <w:t xml:space="preserve">For the Treatment Group, the Business Consultant will follow a standardized engagement framework tailored to the French market. This includes:</w:t>
      </w:r>
    </w:p>
    <w:p>
      <w:pPr>
        <w:numPr>
          <w:ilvl w:val="0"/>
          <w:numId w:val="1003"/>
        </w:numPr>
        <w:pStyle w:val="Compact"/>
      </w:pPr>
      <w:r>
        <w:rPr>
          <w:bCs/>
          <w:b/>
        </w:rPr>
        <w:t xml:space="preserve">Diagnostic Phase (Weeks 1-4):</w:t>
      </w:r>
      <w:r>
        <w:t xml:space="preserve"> </w:t>
      </w:r>
      <w:r>
        <w:t xml:space="preserve">Comprehensive analysis of financial health, organizational structure, and market positioning within France Lyon.</w:t>
      </w:r>
    </w:p>
    <w:p>
      <w:pPr>
        <w:numPr>
          <w:ilvl w:val="0"/>
          <w:numId w:val="1003"/>
        </w:numPr>
        <w:pStyle w:val="Compact"/>
      </w:pPr>
      <w:r>
        <w:rPr>
          <w:bCs/>
          <w:b/>
        </w:rPr>
        <w:t xml:space="preserve">Strategy Formulation (Weeks 5-8):</w:t>
      </w:r>
      <w:r>
        <w:t xml:space="preserve"> </w:t>
      </w:r>
      <w:r>
        <w:t xml:space="preserve">Development of a strategic roadmap addressing specific pain points, ensuring compliance with French labor laws and tax regulations.</w:t>
      </w:r>
    </w:p>
    <w:p>
      <w:pPr>
        <w:numPr>
          <w:ilvl w:val="0"/>
          <w:numId w:val="1003"/>
        </w:numPr>
        <w:pStyle w:val="Compact"/>
      </w:pPr>
      <w:r>
        <w:rPr>
          <w:bCs/>
          <w:b/>
        </w:rPr>
        <w:t xml:space="preserve">Implementation Support (Weeks 9-40):</w:t>
      </w:r>
      <w:r>
        <w:t xml:space="preserve"> </w:t>
      </w:r>
      <w:r>
        <w:t xml:space="preserve">Active guidance during the execution of strategic initiatives.</w:t>
      </w:r>
    </w:p>
    <w:p>
      <w:pPr>
        <w:numPr>
          <w:ilvl w:val="0"/>
          <w:numId w:val="1003"/>
        </w:numPr>
        <w:pStyle w:val="Compact"/>
      </w:pPr>
      <w:r>
        <w:rPr>
          <w:bCs/>
          <w:b/>
        </w:rPr>
        <w:t xml:space="preserve">Review and Adjustment (Weeks 41-52):</w:t>
      </w:r>
      <w:r>
        <w:t xml:space="preserve"> </w:t>
      </w:r>
      <w:r>
        <w:t xml:space="preserve">Monitoring progress and refining strategies based on performance data.</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(Month 0), Mid-term (Month 6), and End-term (Month 12). Key Performance Indicators (KPIs) include:</w:t>
      </w:r>
    </w:p>
    <w:p>
      <w:pPr>
        <w:numPr>
          <w:ilvl w:val="0"/>
          <w:numId w:val="1004"/>
        </w:numPr>
        <w:pStyle w:val="Compact"/>
      </w:pPr>
      <w:r>
        <w:rPr>
          <w:bCs/>
          <w:b/>
        </w:rPr>
        <w:t xml:space="preserve">Financial Metrics:</w:t>
      </w:r>
      <w:r>
        <w:t xml:space="preserve"> </w:t>
      </w:r>
      <w:r>
        <w:t xml:space="preserve">Revenue growth, profit margins, and cash flow stability.</w:t>
      </w:r>
    </w:p>
    <w:p>
      <w:pPr>
        <w:numPr>
          <w:ilvl w:val="0"/>
          <w:numId w:val="1004"/>
        </w:numPr>
        <w:pStyle w:val="Compact"/>
      </w:pPr>
      <w:r>
        <w:rPr>
          <w:bCs/>
          <w:b/>
        </w:rPr>
        <w:t xml:space="preserve">Operational Metrics:</w:t>
      </w:r>
      <w:r>
        <w:t xml:space="preserve"> </w:t>
      </w:r>
      <w:r>
        <w:t xml:space="preserve">Employee productivity, process cycle times, and cost per unit.</w:t>
      </w:r>
    </w:p>
    <w:p>
      <w:pPr>
        <w:numPr>
          <w:ilvl w:val="0"/>
          <w:numId w:val="1004"/>
        </w:numPr>
        <w:pStyle w:val="Compact"/>
      </w:pPr>
      <w:r>
        <w:rPr>
          <w:bCs/>
          <w:b/>
        </w:rPr>
        <w:t xml:space="preserve">Strategic Metrics:</w:t>
      </w:r>
      <w:r>
        <w:t xml:space="preserve"> </w:t>
      </w:r>
      <w:r>
        <w:t xml:space="preserve">Market share expansion within the Lyon region and customer satisfaction scores.</w:t>
      </w:r>
    </w:p>
    <w:p>
      <w:pPr>
        <w:pStyle w:val="FirstParagraph"/>
      </w:pPr>
      <w:r>
        <w:t xml:space="preserve">Qualitative data will also be gathered through structured interviews with CEOs and key stakeholders to assess perceived value and organizational culture shifts.</w:t>
      </w:r>
    </w:p>
    <w:bookmarkEnd w:id="27"/>
    <w:bookmarkStart w:id="28" w:name="ethical-considerations-and-compliance"/>
    <w:p>
      <w:pPr>
        <w:pStyle w:val="Heading2"/>
      </w:pPr>
      <w:r>
        <w:t xml:space="preserve">5. Ethical Considerations and Compliance</w:t>
      </w:r>
    </w:p>
    <w:p>
      <w:pPr>
        <w:pStyle w:val="FirstParagraph"/>
      </w:pPr>
      <w:r>
        <w:t xml:space="preserve">This Experiment Protocol adheres to the ethical standards set by the French National Commission on Informatics and Liberty (CNIL) regarding data protection. All participant data will be anonymized and stored securely. Informed consent will be obtained from all participating SMEs, clearly outlining the purpose of the study and their right to withdraw at any time. The involvement of the Business Consultant will be transparent, with no conflict of interest between the consultant and the research team.</w:t>
      </w:r>
    </w:p>
    <w:bookmarkEnd w:id="28"/>
    <w:bookmarkStart w:id="29" w:name="risk-management"/>
    <w:p>
      <w:pPr>
        <w:pStyle w:val="Heading2"/>
      </w:pPr>
      <w:r>
        <w:t xml:space="preserve">6. Risk Management</w:t>
      </w:r>
    </w:p>
    <w:p>
      <w:pPr>
        <w:pStyle w:val="FirstParagraph"/>
      </w:pPr>
      <w:r>
        <w:t xml:space="preserve">Potential risks include participant attrition, external economic shocks affecting the France Lyon market, and bias in self-reported data. To mitigate these risks:</w:t>
      </w:r>
    </w:p>
    <w:p>
      <w:pPr>
        <w:numPr>
          <w:ilvl w:val="0"/>
          <w:numId w:val="1005"/>
        </w:numPr>
        <w:pStyle w:val="Compact"/>
      </w:pPr>
      <w:r>
        <w:t xml:space="preserve">A buffer of 10% additional participants will be recruited to account for attrition.</w:t>
      </w:r>
    </w:p>
    <w:p>
      <w:pPr>
        <w:numPr>
          <w:ilvl w:val="0"/>
          <w:numId w:val="1005"/>
        </w:numPr>
        <w:pStyle w:val="Compact"/>
      </w:pPr>
      <w:r>
        <w:t xml:space="preserve">Economic indicators specific to Lyon will be monitored and used as control variables in statistical analysis.</w:t>
      </w:r>
    </w:p>
    <w:p>
      <w:pPr>
        <w:numPr>
          <w:ilvl w:val="0"/>
          <w:numId w:val="1005"/>
        </w:numPr>
        <w:pStyle w:val="Compact"/>
      </w:pPr>
      <w:r>
        <w:t xml:space="preserve">Financial data will be verified through third-party audits where possible.</w:t>
      </w:r>
    </w:p>
    <w:bookmarkEnd w:id="29"/>
    <w:bookmarkStart w:id="30" w:name="expected-outcomes-and-dissemination"/>
    <w:p>
      <w:pPr>
        <w:pStyle w:val="Heading2"/>
      </w:pPr>
      <w:r>
        <w:t xml:space="preserve">7. Expected Outcomes and Dissemination</w:t>
      </w:r>
    </w:p>
    <w:p>
      <w:pPr>
        <w:pStyle w:val="FirstParagraph"/>
      </w:pPr>
      <w:r>
        <w:t xml:space="preserve">It is hypothesized that SMEs in the Treatment Group will demonstrate statistically significant improvements in revenue growth and operational efficiency compared to the Control Group. The findings will be compiled into a comprehensive report and disseminated to business leaders, policy makers, and academic institutions in France Lyon. This will contribute to a better understanding of how Business Consultant interventions can be optimized to support regional economic development.</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Business Consultant services on SMEs in France Lyon. By rigorously measuring outcomes and controlling for variables, this study aims to generate evidence-based insights that can guide future business strategies and consulting practices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France Lyon</dc:title>
  <dc:creator/>
  <dc:language>en</dc:language>
  <cp:keywords/>
  <dcterms:created xsi:type="dcterms:W3CDTF">2026-10-10T09:13:28Z</dcterms:created>
  <dcterms:modified xsi:type="dcterms:W3CDTF">2026-10-10T09:13:28Z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