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Business</w:t>
      </w:r>
      <w:r>
        <w:t xml:space="preserve"> </w:t>
      </w:r>
      <w:r>
        <w:t xml:space="preserve">Consultant</w:t>
      </w:r>
      <w:r>
        <w:t xml:space="preserve"> </w:t>
      </w:r>
      <w:r>
        <w:t xml:space="preserve">Impact</w:t>
      </w:r>
      <w:r>
        <w:t xml:space="preserve"> </w:t>
      </w:r>
      <w:r>
        <w:t xml:space="preserve">in</w:t>
      </w:r>
      <w:r>
        <w:t xml:space="preserve"> </w:t>
      </w:r>
      <w:r>
        <w:t xml:space="preserve">Marseille,</w:t>
      </w:r>
      <w:r>
        <w:t xml:space="preserve"> </w:t>
      </w:r>
      <w:r>
        <w:t xml:space="preserve">France</w:t>
      </w:r>
    </w:p>
    <w:bookmarkStart w:id="20" w:name="X6d441fe285411a13e1fac7e065d22bb18f2bcee"/>
    <w:p>
      <w:pPr>
        <w:pStyle w:val="Heading1"/>
      </w:pPr>
      <w:r>
        <w:t xml:space="preserve">Experiment Protocol: Strategic Business Consultant Intervention</w:t>
      </w:r>
    </w:p>
    <w:p>
      <w:pPr>
        <w:pStyle w:val="FirstParagraph"/>
      </w:pPr>
      <w:r>
        <w:t xml:space="preserve">Target Region: France Marseille | Sector: SMEs and Startups</w:t>
      </w:r>
    </w:p>
    <w:bookmarkEnd w:id="20"/>
    <w:p>
      <w:pPr>
        <w:pStyle w:val="BodyText"/>
      </w:pPr>
      <w:r>
        <w:rPr>
          <w:bCs/>
          <w:b/>
        </w:rPr>
        <w:t xml:space="preserve">Protocol ID:</w:t>
      </w:r>
      <w:r>
        <w:t xml:space="preserve"> </w:t>
      </w:r>
      <w:r>
        <w:t xml:space="preserve">EXP-MRS-2023-BC-001</w:t>
      </w:r>
      <w:r>
        <w:br/>
      </w:r>
      <w:r>
        <w:rPr>
          <w:bCs/>
          <w:b/>
        </w:rPr>
        <w:t xml:space="preserve">Version:</w:t>
      </w:r>
      <w:r>
        <w:t xml:space="preserve"> </w:t>
      </w:r>
      <w:r>
        <w:t xml:space="preserve">1.0</w:t>
      </w:r>
      <w:r>
        <w:br/>
      </w:r>
      <w:r>
        <w:rPr>
          <w:bCs/>
          <w:b/>
        </w:rPr>
        <w:t xml:space="preserve">Date:</w:t>
      </w:r>
      <w:r>
        <w:t xml:space="preserve"> </w:t>
      </w:r>
      <w:r>
        <w:t xml:space="preserve">October 26, 2023</w:t>
      </w:r>
      <w:r>
        <w:br/>
      </w:r>
      <w:r>
        <w:rPr>
          <w:bCs/>
          <w:b/>
        </w:rPr>
        <w:t xml:space="preserve">Principal Investigator:</w:t>
      </w:r>
      <w:r>
        <w:t xml:space="preserve"> </w:t>
      </w:r>
      <w:r>
        <w:t xml:space="preserve">[Name Redacted]</w:t>
      </w:r>
      <w:r>
        <w:br/>
      </w:r>
      <w:r>
        <w:rPr>
          <w:bCs/>
          <w:b/>
        </w:rPr>
        <w:t xml:space="preserve">Location:</w:t>
      </w:r>
      <w:r>
        <w:t xml:space="preserve"> </w:t>
      </w:r>
      <w:r>
        <w:t xml:space="preserve">Marseille, Bouches-du-Rhône, France</w:t>
      </w:r>
    </w:p>
    <w:bookmarkStart w:id="21" w:name="introduction-and-rationale"/>
    <w:p>
      <w:pPr>
        <w:pStyle w:val="Heading2"/>
      </w:pPr>
      <w:r>
        <w:t xml:space="preserve">1. Introduction and Rationale</w:t>
      </w:r>
    </w:p>
    <w:p>
      <w:pPr>
        <w:pStyle w:val="FirstParagraph"/>
      </w:pPr>
      <w:r>
        <w:t xml:space="preserve">This Experiment Protocol outlines the methodology for assessing the efficacy of external Business Consultant interventions on Small and Medium-sized Enterprises (SMEs) located in France Marseille. Marseille, as a major Mediterranean port and a rapidly evolving economic hub, presents a unique ecosystem characterized by a blend of traditional maritime industries, emerging tech startups, and a vibrant service sector.</w:t>
      </w:r>
    </w:p>
    <w:p>
      <w:pPr>
        <w:pStyle w:val="BodyText"/>
      </w:pPr>
      <w:r>
        <w:t xml:space="preserve">The role of the Business Consultant in this context is critical. Consultants are often engaged to navigate complex regulatory environments, optimize operational efficiency, and facilitate international expansion. However, empirical data regarding the specific return on investment (ROI) and long-term strategic impact of these consultants within the Marseille market remains fragmented. This experiment aims to fill that gap by providing a structured, controlled evaluation of consultant-led transformation projects.</w:t>
      </w:r>
    </w:p>
    <w:bookmarkEnd w:id="21"/>
    <w:bookmarkStart w:id="22" w:name="objectives"/>
    <w:p>
      <w:pPr>
        <w:pStyle w:val="Heading2"/>
      </w:pPr>
      <w:r>
        <w:t xml:space="preserve">2. Objectives</w:t>
      </w:r>
    </w:p>
    <w:p>
      <w:pPr>
        <w:pStyle w:val="FirstParagraph"/>
      </w:pPr>
      <w:r>
        <w:t xml:space="preserve">The primary objective of this experiment is to quantify the impact of a standardized Business Consultant engagement on key performance indicators (KPIs) of participating firms in France Marseille. Specific objectives include:</w:t>
      </w:r>
    </w:p>
    <w:p>
      <w:pPr>
        <w:numPr>
          <w:ilvl w:val="0"/>
          <w:numId w:val="1001"/>
        </w:numPr>
        <w:pStyle w:val="Compact"/>
      </w:pPr>
      <w:r>
        <w:t xml:space="preserve">To measure the improvement in operational efficiency metrics within a six-month period post-intervention.</w:t>
      </w:r>
    </w:p>
    <w:p>
      <w:pPr>
        <w:numPr>
          <w:ilvl w:val="0"/>
          <w:numId w:val="1001"/>
        </w:numPr>
        <w:pStyle w:val="Compact"/>
      </w:pPr>
      <w:r>
        <w:t xml:space="preserve">To evaluate the effectiveness of consultants in helping Marseille-based businesses adapt to French labor laws and EU regulations.</w:t>
      </w:r>
    </w:p>
    <w:p>
      <w:pPr>
        <w:numPr>
          <w:ilvl w:val="0"/>
          <w:numId w:val="1001"/>
        </w:numPr>
        <w:pStyle w:val="Compact"/>
      </w:pPr>
      <w:r>
        <w:t xml:space="preserve">To assess the impact of consultant guidance on revenue growth and market penetration in the Provence-Alpes-Côte d'Azur (PACA) region.</w:t>
      </w:r>
    </w:p>
    <w:p>
      <w:pPr>
        <w:numPr>
          <w:ilvl w:val="0"/>
          <w:numId w:val="1001"/>
        </w:numPr>
        <w:pStyle w:val="Compact"/>
      </w:pPr>
      <w:r>
        <w:t xml:space="preserve">To determine the correlation between consultant specialization (e.g., digital transformation vs. financial restructuring) and client success rates.</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study will utilize a quasi-experimental design with a control group. Due to the ethical and practical constraints of withholding potential business advice, a "waitlist control" design will be employed. Participants will be divided into two cohorts:</w:t>
      </w:r>
    </w:p>
    <w:p>
      <w:pPr>
        <w:numPr>
          <w:ilvl w:val="0"/>
          <w:numId w:val="1002"/>
        </w:numPr>
        <w:pStyle w:val="Compact"/>
      </w:pPr>
      <w:r>
        <w:rPr>
          <w:bCs/>
          <w:b/>
        </w:rPr>
        <w:t xml:space="preserve">Intervention Group:</w:t>
      </w:r>
      <w:r>
        <w:t xml:space="preserve"> </w:t>
      </w:r>
      <w:r>
        <w:t xml:space="preserve">SMEs that receive immediate engagement with a certified Business Consultant.</w:t>
      </w:r>
    </w:p>
    <w:p>
      <w:pPr>
        <w:numPr>
          <w:ilvl w:val="0"/>
          <w:numId w:val="1002"/>
        </w:numPr>
        <w:pStyle w:val="Compact"/>
      </w:pPr>
      <w:r>
        <w:rPr>
          <w:bCs/>
          <w:b/>
        </w:rPr>
        <w:t xml:space="preserve">Control Group:</w:t>
      </w:r>
      <w:r>
        <w:t xml:space="preserve"> </w:t>
      </w:r>
      <w:r>
        <w:t xml:space="preserve">SMEs that receive the same consultant engagement after a six-month delay.</w:t>
      </w:r>
    </w:p>
    <w:bookmarkEnd w:id="23"/>
    <w:bookmarkStart w:id="24" w:name="participant-selection"/>
    <w:p>
      <w:pPr>
        <w:pStyle w:val="Heading3"/>
      </w:pPr>
      <w:r>
        <w:t xml:space="preserve">3.2 Participant Selection</w:t>
      </w:r>
    </w:p>
    <w:p>
      <w:pPr>
        <w:pStyle w:val="FirstParagraph"/>
      </w:pPr>
      <w:r>
        <w:t xml:space="preserve">Participants will be recruited from the Chamber of Commerce and Industry of Marseille (CCIM). Eligibility criteria include:</w:t>
      </w:r>
    </w:p>
    <w:p>
      <w:pPr>
        <w:numPr>
          <w:ilvl w:val="0"/>
          <w:numId w:val="1003"/>
        </w:numPr>
        <w:pStyle w:val="Compact"/>
      </w:pPr>
      <w:r>
        <w:t xml:space="preserve">Headquarters must be physically located within the metropolitan area of France Marseille.</w:t>
      </w:r>
    </w:p>
    <w:p>
      <w:pPr>
        <w:numPr>
          <w:ilvl w:val="0"/>
          <w:numId w:val="1003"/>
        </w:numPr>
        <w:pStyle w:val="Compact"/>
      </w:pPr>
      <w:r>
        <w:t xml:space="preserve">Company size must range from 10 to 250 employees.</w:t>
      </w:r>
    </w:p>
    <w:p>
      <w:pPr>
        <w:numPr>
          <w:ilvl w:val="0"/>
          <w:numId w:val="1003"/>
        </w:numPr>
        <w:pStyle w:val="Compact"/>
      </w:pPr>
      <w:r>
        <w:t xml:space="preserve">Annual turnover between €500,000 and €10 million.</w:t>
      </w:r>
    </w:p>
    <w:p>
      <w:pPr>
        <w:numPr>
          <w:ilvl w:val="0"/>
          <w:numId w:val="1003"/>
        </w:numPr>
        <w:pStyle w:val="Compact"/>
      </w:pPr>
      <w:r>
        <w:t xml:space="preserve">Willingness to share anonymized financial and operational data for the duration of the experiment.</w:t>
      </w:r>
    </w:p>
    <w:bookmarkEnd w:id="24"/>
    <w:bookmarkStart w:id="25" w:name="the-consultant-intervention"/>
    <w:p>
      <w:pPr>
        <w:pStyle w:val="Heading3"/>
      </w:pPr>
      <w:r>
        <w:t xml:space="preserve">3.3 The Consultant Intervention</w:t>
      </w:r>
    </w:p>
    <w:p>
      <w:pPr>
        <w:pStyle w:val="FirstParagraph"/>
      </w:pPr>
      <w:r>
        <w:t xml:space="preserve">The Business Consultant assigned to the Intervention Group will follow a standardized protocol tailored to the Marseille market. This includes:</w:t>
      </w:r>
    </w:p>
    <w:p>
      <w:pPr>
        <w:numPr>
          <w:ilvl w:val="0"/>
          <w:numId w:val="1004"/>
        </w:numPr>
        <w:pStyle w:val="Compact"/>
      </w:pPr>
      <w:r>
        <w:rPr>
          <w:bCs/>
          <w:b/>
        </w:rPr>
        <w:t xml:space="preserve">Phase 1: Diagnostic (Weeks 1-4):</w:t>
      </w:r>
      <w:r>
        <w:t xml:space="preserve"> </w:t>
      </w:r>
      <w:r>
        <w:t xml:space="preserve">Comprehensive audit of current business processes, financial health, and market positioning.</w:t>
      </w:r>
    </w:p>
    <w:p>
      <w:pPr>
        <w:numPr>
          <w:ilvl w:val="0"/>
          <w:numId w:val="1004"/>
        </w:numPr>
        <w:pStyle w:val="Compact"/>
      </w:pPr>
      <w:r>
        <w:rPr>
          <w:bCs/>
          <w:b/>
        </w:rPr>
        <w:t xml:space="preserve">Phase 2: Strategy Formulation (Weeks 5-8):</w:t>
      </w:r>
      <w:r>
        <w:t xml:space="preserve"> </w:t>
      </w:r>
      <w:r>
        <w:t xml:space="preserve">Development of a strategic roadmap addressing specific pain points, such as supply chain logistics common in port cities or digital adoption.</w:t>
      </w:r>
    </w:p>
    <w:p>
      <w:pPr>
        <w:numPr>
          <w:ilvl w:val="0"/>
          <w:numId w:val="1004"/>
        </w:numPr>
        <w:pStyle w:val="Compact"/>
      </w:pPr>
      <w:r>
        <w:rPr>
          <w:bCs/>
          <w:b/>
        </w:rPr>
        <w:t xml:space="preserve">Phase 3: Implementation Support (Weeks 9-20):</w:t>
      </w:r>
      <w:r>
        <w:t xml:space="preserve"> </w:t>
      </w:r>
      <w:r>
        <w:t xml:space="preserve">Active oversight of strategy execution, including staff training and process re-engineering.</w:t>
      </w:r>
    </w:p>
    <w:p>
      <w:pPr>
        <w:numPr>
          <w:ilvl w:val="0"/>
          <w:numId w:val="1004"/>
        </w:numPr>
        <w:pStyle w:val="Compact"/>
      </w:pPr>
      <w:r>
        <w:rPr>
          <w:bCs/>
          <w:b/>
        </w:rPr>
        <w:t xml:space="preserve">Phase 4: Review (Week 24):</w:t>
      </w:r>
      <w:r>
        <w:t xml:space="preserve"> </w:t>
      </w:r>
      <w:r>
        <w:t xml:space="preserve">Final assessment of outcomes against baseline metrics.</w:t>
      </w:r>
    </w:p>
    <w:bookmarkEnd w:id="25"/>
    <w:bookmarkEnd w:id="26"/>
    <w:bookmarkStart w:id="27" w:name="data-collection-and-metrics"/>
    <w:p>
      <w:pPr>
        <w:pStyle w:val="Heading2"/>
      </w:pPr>
      <w:r>
        <w:t xml:space="preserve">4. Data Collection and Metrics</w:t>
      </w:r>
    </w:p>
    <w:p>
      <w:pPr>
        <w:pStyle w:val="FirstParagraph"/>
      </w:pPr>
      <w:r>
        <w:t xml:space="preserve">Data will be collected at three intervals: T0 (Baseline), T1 (3 Months), and T2 (6 Months). The following metrics will be tracked: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 Category</w:t>
            </w:r>
          </w:p>
        </w:tc>
        <w:tc>
          <w:tcPr/>
          <w:p>
            <w:pPr>
              <w:pStyle w:val="Compact"/>
              <w:jc w:val="left"/>
            </w:pPr>
            <w:r>
              <w:t xml:space="preserve">Specific Indicators</w:t>
            </w:r>
          </w:p>
        </w:tc>
        <w:tc>
          <w:tcPr/>
          <w:p>
            <w:pPr>
              <w:pStyle w:val="Compact"/>
              <w:jc w:val="left"/>
            </w:pPr>
            <w:r>
              <w:t xml:space="preserve">Measurement Tool</w:t>
            </w:r>
          </w:p>
        </w:tc>
      </w:tr>
      <w:tr>
        <w:tc>
          <w:tcPr/>
          <w:p>
            <w:pPr>
              <w:pStyle w:val="Compact"/>
              <w:jc w:val="left"/>
            </w:pPr>
            <w:r>
              <w:t xml:space="preserve">Financial Performance</w:t>
            </w:r>
          </w:p>
        </w:tc>
        <w:tc>
          <w:tcPr/>
          <w:p>
            <w:pPr>
              <w:pStyle w:val="Compact"/>
              <w:jc w:val="left"/>
            </w:pPr>
            <w:r>
              <w:t xml:space="preserve">Revenue growth, profit margin, cost reduction</w:t>
            </w:r>
          </w:p>
        </w:tc>
        <w:tc>
          <w:tcPr/>
          <w:p>
            <w:pPr>
              <w:pStyle w:val="Compact"/>
              <w:jc w:val="left"/>
            </w:pPr>
            <w:r>
              <w:t xml:space="preserve">Financial statements (P&amp;L)</w:t>
            </w:r>
          </w:p>
        </w:tc>
      </w:tr>
      <w:tr>
        <w:tc>
          <w:tcPr/>
          <w:p>
            <w:pPr>
              <w:pStyle w:val="Compact"/>
              <w:jc w:val="left"/>
            </w:pPr>
            <w:r>
              <w:t xml:space="preserve">Operational Efficiency</w:t>
            </w:r>
          </w:p>
        </w:tc>
        <w:tc>
          <w:tcPr/>
          <w:p>
            <w:pPr>
              <w:pStyle w:val="Compact"/>
              <w:jc w:val="left"/>
            </w:pPr>
            <w:r>
              <w:t xml:space="preserve">Process cycle time, error rates, resource utilization</w:t>
            </w:r>
          </w:p>
        </w:tc>
        <w:tc>
          <w:tcPr/>
          <w:p>
            <w:pPr>
              <w:pStyle w:val="Compact"/>
              <w:jc w:val="left"/>
            </w:pPr>
            <w:r>
              <w:t xml:space="preserve">Internal operational logs</w:t>
            </w:r>
          </w:p>
        </w:tc>
      </w:tr>
      <w:tr>
        <w:tc>
          <w:tcPr/>
          <w:p>
            <w:pPr>
              <w:pStyle w:val="Compact"/>
              <w:jc w:val="left"/>
            </w:pPr>
            <w:r>
              <w:t xml:space="preserve">Market Position</w:t>
            </w:r>
          </w:p>
        </w:tc>
        <w:tc>
          <w:tcPr/>
          <w:p>
            <w:pPr>
              <w:pStyle w:val="Compact"/>
              <w:jc w:val="left"/>
            </w:pPr>
            <w:r>
              <w:t xml:space="preserve">Customer acquisition cost, market share in Marseille</w:t>
            </w:r>
          </w:p>
        </w:tc>
        <w:tc>
          <w:tcPr/>
          <w:p>
            <w:pPr>
              <w:pStyle w:val="Compact"/>
              <w:jc w:val="left"/>
            </w:pPr>
            <w:r>
              <w:t xml:space="preserve">CRM data and market surveys</w:t>
            </w:r>
          </w:p>
        </w:tc>
      </w:tr>
      <w:tr>
        <w:tc>
          <w:tcPr/>
          <w:p>
            <w:pPr>
              <w:pStyle w:val="Compact"/>
              <w:jc w:val="left"/>
            </w:pPr>
            <w:r>
              <w:t xml:space="preserve">Stakeholder Satisfaction</w:t>
            </w:r>
          </w:p>
        </w:tc>
        <w:tc>
          <w:tcPr/>
          <w:p>
            <w:pPr>
              <w:pStyle w:val="Compact"/>
              <w:jc w:val="left"/>
            </w:pPr>
            <w:r>
              <w:t xml:space="preserve">Employee engagement scores, client satisfaction (NPS)</w:t>
            </w:r>
          </w:p>
        </w:tc>
        <w:tc>
          <w:tcPr/>
          <w:p>
            <w:pPr>
              <w:pStyle w:val="Compact"/>
              <w:jc w:val="left"/>
            </w:pPr>
            <w:r>
              <w:t xml:space="preserve">Standardized surveys</w:t>
            </w:r>
          </w:p>
        </w:tc>
      </w:tr>
    </w:tbl>
    <w:bookmarkEnd w:id="27"/>
    <w:bookmarkStart w:id="28" w:name="ethical-considerations-and-compliance"/>
    <w:p>
      <w:pPr>
        <w:pStyle w:val="Heading2"/>
      </w:pPr>
      <w:r>
        <w:t xml:space="preserve">5. Ethical Considerations and Compliance</w:t>
      </w:r>
    </w:p>
    <w:p>
      <w:pPr>
        <w:pStyle w:val="FirstParagraph"/>
      </w:pPr>
      <w:r>
        <w:t xml:space="preserve">Given the sensitive nature of business data, this experiment adheres strictly to the General Data Protection Regulation (GDPR) applicable in France. All data collected will be anonymized and stored on secure servers located within the European Union. Participation is voluntary, and companies retain the right to withdraw from the experiment at any time without penalty. The Business Consultant will maintain professional confidentiality and avoid conflicts of interest, ensuring that recommendations are solely in the best interest of the client firm.</w:t>
      </w:r>
    </w:p>
    <w:bookmarkEnd w:id="28"/>
    <w:bookmarkStart w:id="29" w:name="timeline-and-milestones"/>
    <w:p>
      <w:pPr>
        <w:pStyle w:val="Heading2"/>
      </w:pPr>
      <w:r>
        <w:t xml:space="preserve">6. Timeline and Milestones</w:t>
      </w:r>
    </w:p>
    <w:p>
      <w:pPr>
        <w:numPr>
          <w:ilvl w:val="0"/>
          <w:numId w:val="1005"/>
        </w:numPr>
        <w:pStyle w:val="Compact"/>
      </w:pPr>
      <w:r>
        <w:rPr>
          <w:bCs/>
          <w:b/>
        </w:rPr>
        <w:t xml:space="preserve">Month 1:</w:t>
      </w:r>
      <w:r>
        <w:t xml:space="preserve"> </w:t>
      </w:r>
      <w:r>
        <w:t xml:space="preserve">Recruitment of participants and baseline data collection (T0).</w:t>
      </w:r>
    </w:p>
    <w:p>
      <w:pPr>
        <w:numPr>
          <w:ilvl w:val="0"/>
          <w:numId w:val="1005"/>
        </w:numPr>
        <w:pStyle w:val="Compact"/>
      </w:pPr>
      <w:r>
        <w:rPr>
          <w:bCs/>
          <w:b/>
        </w:rPr>
        <w:t xml:space="preserve">Month 2-5:</w:t>
      </w:r>
      <w:r>
        <w:t xml:space="preserve"> </w:t>
      </w:r>
      <w:r>
        <w:t xml:space="preserve">Execution of the Business Consultant intervention for the Intervention Group.</w:t>
      </w:r>
    </w:p>
    <w:p>
      <w:pPr>
        <w:numPr>
          <w:ilvl w:val="0"/>
          <w:numId w:val="1005"/>
        </w:numPr>
        <w:pStyle w:val="Compact"/>
      </w:pPr>
      <w:r>
        <w:rPr>
          <w:bCs/>
          <w:b/>
        </w:rPr>
        <w:t xml:space="preserve">Month 4:</w:t>
      </w:r>
      <w:r>
        <w:t xml:space="preserve"> </w:t>
      </w:r>
      <w:r>
        <w:t xml:space="preserve">Mid-point data collection (T1).</w:t>
      </w:r>
    </w:p>
    <w:p>
      <w:pPr>
        <w:numPr>
          <w:ilvl w:val="0"/>
          <w:numId w:val="1005"/>
        </w:numPr>
        <w:pStyle w:val="Compact"/>
      </w:pPr>
      <w:r>
        <w:rPr>
          <w:bCs/>
          <w:b/>
        </w:rPr>
        <w:t xml:space="preserve">Month 6:</w:t>
      </w:r>
      <w:r>
        <w:t xml:space="preserve"> </w:t>
      </w:r>
      <w:r>
        <w:t xml:space="preserve">Final data collection (T2) for the Intervention Group and baseline for the Control Group.</w:t>
      </w:r>
    </w:p>
    <w:p>
      <w:pPr>
        <w:numPr>
          <w:ilvl w:val="0"/>
          <w:numId w:val="1005"/>
        </w:numPr>
        <w:pStyle w:val="Compact"/>
      </w:pPr>
      <w:r>
        <w:rPr>
          <w:bCs/>
          <w:b/>
        </w:rPr>
        <w:t xml:space="preserve">Month 7-8:</w:t>
      </w:r>
      <w:r>
        <w:t xml:space="preserve"> </w:t>
      </w:r>
      <w:r>
        <w:t xml:space="preserve">Data analysis and report generation.</w:t>
      </w:r>
    </w:p>
    <w:bookmarkEnd w:id="29"/>
    <w:bookmarkStart w:id="30" w:name="expected-outcomes-and-impact"/>
    <w:p>
      <w:pPr>
        <w:pStyle w:val="Heading2"/>
      </w:pPr>
      <w:r>
        <w:t xml:space="preserve">7. Expected Outcomes and Impact</w:t>
      </w:r>
    </w:p>
    <w:p>
      <w:pPr>
        <w:pStyle w:val="FirstParagraph"/>
      </w:pPr>
      <w:r>
        <w:t xml:space="preserve">It is hypothesized that SMEs in France Marseille engaging with a structured Business Consultant protocol will demonstrate statistically significant improvements in operational efficiency and financial performance compared to the control group. Furthermore, this experiment aims to produce a framework that can be adopted by local business support organizations in Marseille to better guide entrepreneurs in selecting and utilizing consulting services effectively. The findings will contribute to the broader understanding of how professional advisory services drive economic resilience in regional French economies.</w:t>
      </w:r>
    </w:p>
    <w:bookmarkEnd w:id="30"/>
    <w:p>
      <w:pPr>
        <w:pStyle w:val="BodyText"/>
      </w:pPr>
      <w:r>
        <w:t xml:space="preserve">© 2023 Experiment Protocol Series. All rights reserved. Document prepared for academic and professional review.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Business Consultant Impact in Marseille, France</dc:title>
  <dc:creator/>
  <dc:language>en</dc:language>
  <cp:keywords/>
  <dcterms:created xsi:type="dcterms:W3CDTF">2026-10-10T06:55:18Z</dcterms:created>
  <dcterms:modified xsi:type="dcterms:W3CDTF">2026-10-10T06:55:18Z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