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Germany</w:t>
      </w:r>
      <w:r>
        <w:t xml:space="preserve"> </w:t>
      </w:r>
      <w:r>
        <w:t xml:space="preserve">Berlin</w:t>
      </w:r>
    </w:p>
    <w:bookmarkStart w:id="31" w:name="Xe282bcb736f3248a0e1cd791cdde33cc6c8c820"/>
    <w:p>
      <w:pPr>
        <w:pStyle w:val="Heading1"/>
      </w:pPr>
      <w:r>
        <w:t xml:space="preserve">Experiment Protocol: Business Consultant Efficacy in Germany Berlin</w:t>
      </w:r>
    </w:p>
    <w:p>
      <w:pPr>
        <w:pStyle w:val="FirstParagraph"/>
      </w:pPr>
      <w:r>
        <w:rPr>
          <w:bCs/>
          <w:b/>
        </w:rPr>
        <w:t xml:space="preserve">Protocol ID:</w:t>
      </w:r>
      <w:r>
        <w:t xml:space="preserve"> </w:t>
      </w:r>
      <w:r>
        <w:t xml:space="preserve">EXP-BC-BER-2023-001</w:t>
      </w:r>
    </w:p>
    <w:p>
      <w:pPr>
        <w:pStyle w:val="BodyText"/>
      </w:pPr>
      <w:r>
        <w:rPr>
          <w:bCs/>
          <w:b/>
        </w:rPr>
        <w:t xml:space="preserve">Location:</w:t>
      </w:r>
      <w:r>
        <w:t xml:space="preserve"> </w:t>
      </w:r>
      <w:r>
        <w:t xml:space="preserve">Germany Berlin (Primary Market)</w:t>
      </w:r>
    </w:p>
    <w:p>
      <w:pPr>
        <w:pStyle w:val="BodyText"/>
      </w:pPr>
      <w:r>
        <w:rPr>
          <w:bCs/>
          <w:b/>
        </w:rPr>
        <w:t xml:space="preserve">Subject:</w:t>
      </w:r>
      <w:r>
        <w:t xml:space="preserve"> </w:t>
      </w:r>
      <w:r>
        <w:t xml:space="preserve">Business Consultant Performance and Client Impact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a Business Consultant operating within the dynamic economic landscape of Germany Berlin. Berlin has emerged as a significant hub for startups, technology firms, and established enterprises seeking strategic growth. The role of the Business Consultant in this context is critical, requiring not only technical expertise but also a deep understanding of local regulatory frameworks, cultural nuances, and market dynamics.</w:t>
      </w:r>
    </w:p>
    <w:p>
      <w:pPr>
        <w:pStyle w:val="BodyText"/>
      </w:pPr>
      <w:r>
        <w:t xml:space="preserve">The purpose of this experiment is to systematically evaluate how specific consulting interventions impact client performance metrics. By conducting this study in Germany Berlin, we aim to isolate variables unique to this region, such as the influence of the German Mittelstand, the vibrant startup ecosystem, and the specific labor laws and business regulations that govern operations in the capital.</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direct impact of Business Consultant recommendations on client revenue growth over a six-month period.</w:t>
      </w:r>
    </w:p>
    <w:p>
      <w:pPr>
        <w:numPr>
          <w:ilvl w:val="0"/>
          <w:numId w:val="1001"/>
        </w:numPr>
        <w:pStyle w:val="Compact"/>
      </w:pPr>
      <w:r>
        <w:t xml:space="preserve">To assess the effectiveness of strategic planning sessions in improving operational efficiency within Berlin-based companies.</w:t>
      </w:r>
    </w:p>
    <w:p>
      <w:pPr>
        <w:numPr>
          <w:ilvl w:val="0"/>
          <w:numId w:val="1001"/>
        </w:numPr>
        <w:pStyle w:val="Compact"/>
      </w:pPr>
      <w:r>
        <w:t xml:space="preserve">To evaluate client satisfaction and perceived value of the consulting services provided.</w:t>
      </w:r>
    </w:p>
    <w:p>
      <w:pPr>
        <w:numPr>
          <w:ilvl w:val="0"/>
          <w:numId w:val="1001"/>
        </w:numPr>
        <w:pStyle w:val="Compact"/>
      </w:pPr>
      <w:r>
        <w:t xml:space="preserve">To identify best practices for Business Consultants operating in the Germany Berlin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quasi-experimental design with a control group. The study will involve two groups of companies based in Germany Berlin:</w:t>
      </w:r>
    </w:p>
    <w:p>
      <w:pPr>
        <w:numPr>
          <w:ilvl w:val="0"/>
          <w:numId w:val="1002"/>
        </w:numPr>
        <w:pStyle w:val="Compact"/>
      </w:pPr>
      <w:r>
        <w:rPr>
          <w:bCs/>
          <w:b/>
        </w:rPr>
        <w:t xml:space="preserve">Intervention Group:</w:t>
      </w:r>
      <w:r>
        <w:t xml:space="preserve"> </w:t>
      </w:r>
      <w:r>
        <w:t xml:space="preserve">Companies that engage with the Business Consultant for a structured six-month engagement.</w:t>
      </w:r>
    </w:p>
    <w:p>
      <w:pPr>
        <w:numPr>
          <w:ilvl w:val="0"/>
          <w:numId w:val="1002"/>
        </w:numPr>
        <w:pStyle w:val="Compact"/>
      </w:pPr>
      <w:r>
        <w:rPr>
          <w:bCs/>
          <w:b/>
        </w:rPr>
        <w:t xml:space="preserve">Control Group:</w:t>
      </w:r>
      <w:r>
        <w:t xml:space="preserve"> </w:t>
      </w:r>
      <w:r>
        <w:t xml:space="preserve">Companies of similar size and industry that do not engage with the consultant during the study period.</w:t>
      </w:r>
    </w:p>
    <w:bookmarkEnd w:id="22"/>
    <w:bookmarkStart w:id="23" w:name="participants"/>
    <w:p>
      <w:pPr>
        <w:pStyle w:val="Heading3"/>
      </w:pPr>
      <w:r>
        <w:t xml:space="preserve">3.2 Participants</w:t>
      </w:r>
    </w:p>
    <w:p>
      <w:pPr>
        <w:pStyle w:val="FirstParagraph"/>
      </w:pPr>
      <w:r>
        <w:t xml:space="preserve">Participants will be selected from the Germany Berlin business community, focusing on small to medium-sized enterprises (SMEs) and startups. Inclusion criteria are as follows:</w:t>
      </w:r>
    </w:p>
    <w:p>
      <w:pPr>
        <w:numPr>
          <w:ilvl w:val="0"/>
          <w:numId w:val="1003"/>
        </w:numPr>
        <w:pStyle w:val="Compact"/>
      </w:pPr>
      <w:r>
        <w:t xml:space="preserve">Headquartered in Germany Berlin.</w:t>
      </w:r>
    </w:p>
    <w:p>
      <w:pPr>
        <w:numPr>
          <w:ilvl w:val="0"/>
          <w:numId w:val="1003"/>
        </w:numPr>
        <w:pStyle w:val="Compact"/>
      </w:pPr>
      <w:r>
        <w:t xml:space="preserve">Operating for at least two years.</w:t>
      </w:r>
    </w:p>
    <w:p>
      <w:pPr>
        <w:numPr>
          <w:ilvl w:val="0"/>
          <w:numId w:val="1003"/>
        </w:numPr>
        <w:pStyle w:val="Compact"/>
      </w:pPr>
      <w:r>
        <w:t xml:space="preserve">Revenue between €500,000 and €10 million.</w:t>
      </w:r>
    </w:p>
    <w:p>
      <w:pPr>
        <w:numPr>
          <w:ilvl w:val="0"/>
          <w:numId w:val="1003"/>
        </w:numPr>
        <w:pStyle w:val="Compact"/>
      </w:pPr>
      <w:r>
        <w:t xml:space="preserve">Willingness to share financial and operational data for the duration of the study.</w:t>
      </w:r>
    </w:p>
    <w:bookmarkEnd w:id="23"/>
    <w:bookmarkStart w:id="24" w:name="intervention"/>
    <w:p>
      <w:pPr>
        <w:pStyle w:val="Heading3"/>
      </w:pPr>
      <w:r>
        <w:t xml:space="preserve">3.3 Intervention</w:t>
      </w:r>
    </w:p>
    <w:p>
      <w:pPr>
        <w:pStyle w:val="FirstParagraph"/>
      </w:pPr>
      <w:r>
        <w:t xml:space="preserve">The Business Consultant will provide the following services to the intervention group:</w:t>
      </w:r>
    </w:p>
    <w:p>
      <w:pPr>
        <w:numPr>
          <w:ilvl w:val="0"/>
          <w:numId w:val="1004"/>
        </w:numPr>
        <w:pStyle w:val="Compact"/>
      </w:pPr>
      <w:r>
        <w:t xml:space="preserve">Initial diagnostic assessment of business operations.</w:t>
      </w:r>
    </w:p>
    <w:p>
      <w:pPr>
        <w:numPr>
          <w:ilvl w:val="0"/>
          <w:numId w:val="1004"/>
        </w:numPr>
        <w:pStyle w:val="Compact"/>
      </w:pPr>
      <w:r>
        <w:t xml:space="preserve">Development of a customized strategic plan.</w:t>
      </w:r>
    </w:p>
    <w:p>
      <w:pPr>
        <w:numPr>
          <w:ilvl w:val="0"/>
          <w:numId w:val="1004"/>
        </w:numPr>
        <w:pStyle w:val="Compact"/>
      </w:pPr>
      <w:r>
        <w:t xml:space="preserve">Monthly review meetings to track progress and adjust strategies.</w:t>
      </w:r>
    </w:p>
    <w:p>
      <w:pPr>
        <w:numPr>
          <w:ilvl w:val="0"/>
          <w:numId w:val="1004"/>
        </w:numPr>
        <w:pStyle w:val="Compact"/>
      </w:pPr>
      <w:r>
        <w:t xml:space="preserve">Workshops on leadership development and team alignment.</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(before the intervention), mid-point (three months), and endpoint (six months).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Source</w:t>
            </w:r>
          </w:p>
        </w:tc>
      </w:tr>
      <w:tr>
        <w:tc>
          <w:tcPr/>
          <w:p>
            <w:pPr>
              <w:pStyle w:val="Compact"/>
              <w:jc w:val="left"/>
            </w:pPr>
            <w:r>
              <w:t xml:space="preserve">Revenue Growth</w:t>
            </w:r>
          </w:p>
        </w:tc>
        <w:tc>
          <w:tcPr/>
          <w:p>
            <w:pPr>
              <w:pStyle w:val="Compact"/>
              <w:jc w:val="left"/>
            </w:pPr>
            <w:r>
              <w:t xml:space="preserve">Percentage change in monthly revenue.</w:t>
            </w:r>
          </w:p>
        </w:tc>
        <w:tc>
          <w:tcPr/>
          <w:p>
            <w:pPr>
              <w:pStyle w:val="Compact"/>
              <w:jc w:val="left"/>
            </w:pPr>
            <w:r>
              <w:t xml:space="preserve">Financial Statements</w:t>
            </w:r>
          </w:p>
        </w:tc>
      </w:tr>
      <w:tr>
        <w:tc>
          <w:tcPr/>
          <w:p>
            <w:pPr>
              <w:pStyle w:val="Compact"/>
              <w:jc w:val="left"/>
            </w:pPr>
            <w:r>
              <w:t xml:space="preserve">Operational Efficiency</w:t>
            </w:r>
          </w:p>
        </w:tc>
        <w:tc>
          <w:tcPr/>
          <w:p>
            <w:pPr>
              <w:pStyle w:val="Compact"/>
              <w:jc w:val="left"/>
            </w:pPr>
            <w:r>
              <w:t xml:space="preserve">Reduction in operational costs and improvement in process times.</w:t>
            </w:r>
          </w:p>
        </w:tc>
        <w:tc>
          <w:tcPr/>
          <w:p>
            <w:pPr>
              <w:pStyle w:val="Compact"/>
              <w:jc w:val="left"/>
            </w:pPr>
            <w:r>
              <w:t xml:space="preserve">Internal Reports</w:t>
            </w:r>
          </w:p>
        </w:tc>
      </w:tr>
      <w:tr>
        <w:tc>
          <w:tcPr/>
          <w:p>
            <w:pPr>
              <w:pStyle w:val="Compact"/>
              <w:jc w:val="left"/>
            </w:pPr>
            <w:r>
              <w:t xml:space="preserve">Client Satisfaction</w:t>
            </w:r>
          </w:p>
        </w:tc>
        <w:tc>
          <w:tcPr/>
          <w:p>
            <w:pPr>
              <w:pStyle w:val="Compact"/>
              <w:jc w:val="left"/>
            </w:pPr>
            <w:r>
              <w:t xml:space="preserve">Survey-based assessment of consultant effectiveness.</w:t>
            </w:r>
          </w:p>
        </w:tc>
        <w:tc>
          <w:tcPr/>
          <w:p>
            <w:pPr>
              <w:pStyle w:val="Compact"/>
              <w:jc w:val="left"/>
            </w:pPr>
            <w:r>
              <w:t xml:space="preserve">Client Surveys</w:t>
            </w:r>
          </w:p>
        </w:tc>
      </w:tr>
      <w:tr>
        <w:tc>
          <w:tcPr/>
          <w:p>
            <w:pPr>
              <w:pStyle w:val="Compact"/>
              <w:jc w:val="left"/>
            </w:pPr>
            <w:r>
              <w:t xml:space="preserve">Employee Engagement</w:t>
            </w:r>
          </w:p>
        </w:tc>
        <w:tc>
          <w:tcPr/>
          <w:p>
            <w:pPr>
              <w:pStyle w:val="Compact"/>
              <w:jc w:val="left"/>
            </w:pPr>
            <w:r>
              <w:t xml:space="preserve">Changes in employee satisfaction and retention rates.</w:t>
            </w:r>
          </w:p>
        </w:tc>
        <w:tc>
          <w:tcPr/>
          <w:p>
            <w:pPr>
              <w:pStyle w:val="Compact"/>
              <w:jc w:val="left"/>
            </w:pPr>
            <w:r>
              <w:t xml:space="preserve">HR Data</w:t>
            </w:r>
          </w:p>
        </w:tc>
      </w:tr>
    </w:tbl>
    <w:bookmarkEnd w:id="26"/>
    <w:bookmarkStart w:id="27" w:name="ethical-considerations"/>
    <w:p>
      <w:pPr>
        <w:pStyle w:val="Heading2"/>
      </w:pPr>
      <w:r>
        <w:t xml:space="preserve">5. Ethical Considerations</w:t>
      </w:r>
    </w:p>
    <w:p>
      <w:pPr>
        <w:pStyle w:val="FirstParagraph"/>
      </w:pPr>
      <w:r>
        <w:t xml:space="preserve">This experiment adheres to the ethical guidelines for business research in Germany. Key considerations include:</w:t>
      </w:r>
    </w:p>
    <w:p>
      <w:pPr>
        <w:numPr>
          <w:ilvl w:val="0"/>
          <w:numId w:val="1005"/>
        </w:numPr>
        <w:pStyle w:val="Compact"/>
      </w:pPr>
      <w:r>
        <w:rPr>
          <w:bCs/>
          <w:b/>
        </w:rPr>
        <w:t xml:space="preserve">Informed Consent:</w:t>
      </w:r>
      <w:r>
        <w:t xml:space="preserve"> </w:t>
      </w:r>
      <w:r>
        <w:t xml:space="preserve">All participating companies will provide written consent, acknowledging the purpose of the study and the use of their data.</w:t>
      </w:r>
    </w:p>
    <w:p>
      <w:pPr>
        <w:numPr>
          <w:ilvl w:val="0"/>
          <w:numId w:val="1005"/>
        </w:numPr>
        <w:pStyle w:val="Compact"/>
      </w:pPr>
      <w:r>
        <w:rPr>
          <w:bCs/>
          <w:b/>
        </w:rPr>
        <w:t xml:space="preserve">Confidentiality:</w:t>
      </w:r>
      <w:r>
        <w:t xml:space="preserve"> </w:t>
      </w:r>
      <w:r>
        <w:t xml:space="preserve">All data will be anonymized and stored securely in compliance with the General Data Protection Regulation (GDPR).</w:t>
      </w:r>
    </w:p>
    <w:p>
      <w:pPr>
        <w:numPr>
          <w:ilvl w:val="0"/>
          <w:numId w:val="1005"/>
        </w:numPr>
        <w:pStyle w:val="Compact"/>
      </w:pPr>
      <w:r>
        <w:rPr>
          <w:bCs/>
          <w:b/>
        </w:rPr>
        <w:t xml:space="preserve">Voluntary Participation:</w:t>
      </w:r>
      <w:r>
        <w:t xml:space="preserve"> </w:t>
      </w:r>
      <w:r>
        <w:t xml:space="preserve">Companies may withdraw from the study at any time without penalty.</w:t>
      </w:r>
    </w:p>
    <w:bookmarkEnd w:id="27"/>
    <w:bookmarkStart w:id="28" w:name="analysis-plan"/>
    <w:p>
      <w:pPr>
        <w:pStyle w:val="Heading2"/>
      </w:pPr>
      <w:r>
        <w:t xml:space="preserve">6. Analysis Plan</w:t>
      </w:r>
    </w:p>
    <w:p>
      <w:pPr>
        <w:pStyle w:val="FirstParagraph"/>
      </w:pPr>
      <w:r>
        <w:t xml:space="preserve">Data analysis will be conducted using statistical software to compare the performance of the intervention and control groups. Key analyses include:</w:t>
      </w:r>
    </w:p>
    <w:p>
      <w:pPr>
        <w:numPr>
          <w:ilvl w:val="0"/>
          <w:numId w:val="1006"/>
        </w:numPr>
        <w:pStyle w:val="Compact"/>
      </w:pPr>
      <w:r>
        <w:rPr>
          <w:bCs/>
          <w:b/>
        </w:rPr>
        <w:t xml:space="preserve">Descriptive Statistics:</w:t>
      </w:r>
      <w:r>
        <w:t xml:space="preserve"> </w:t>
      </w:r>
      <w:r>
        <w:t xml:space="preserve">To summarize the characteristics of the participating companies.</w:t>
      </w:r>
    </w:p>
    <w:p>
      <w:pPr>
        <w:numPr>
          <w:ilvl w:val="0"/>
          <w:numId w:val="1006"/>
        </w:numPr>
        <w:pStyle w:val="Compact"/>
      </w:pPr>
      <w:r>
        <w:rPr>
          <w:bCs/>
          <w:b/>
        </w:rPr>
        <w:t xml:space="preserve">T-tests:</w:t>
      </w:r>
      <w:r>
        <w:t xml:space="preserve"> </w:t>
      </w:r>
      <w:r>
        <w:t xml:space="preserve">To compare mean differences in revenue growth and operational efficiency between groups.</w:t>
      </w:r>
    </w:p>
    <w:p>
      <w:pPr>
        <w:numPr>
          <w:ilvl w:val="0"/>
          <w:numId w:val="1006"/>
        </w:numPr>
        <w:pStyle w:val="Compact"/>
      </w:pPr>
      <w:r>
        <w:rPr>
          <w:bCs/>
          <w:b/>
        </w:rPr>
        <w:t xml:space="preserve">Regression Analysis:</w:t>
      </w:r>
      <w:r>
        <w:t xml:space="preserve"> </w:t>
      </w:r>
      <w:r>
        <w:t xml:space="preserve">To control for confounding variables and assess the impact of the consulting intervention.</w:t>
      </w:r>
    </w:p>
    <w:bookmarkEnd w:id="28"/>
    <w:bookmarkStart w:id="29" w:name="timeline"/>
    <w:p>
      <w:pPr>
        <w:pStyle w:val="Heading2"/>
      </w:pPr>
      <w:r>
        <w:t xml:space="preserve">7. Timeline</w:t>
      </w:r>
    </w:p>
    <w:p>
      <w:pPr>
        <w:pStyle w:val="FirstParagraph"/>
      </w:pPr>
      <w:r>
        <w:t xml:space="preserve">The experiment will be conducted over a period of eight months, as follows:</w:t>
      </w:r>
    </w:p>
    <w:p>
      <w:pPr>
        <w:numPr>
          <w:ilvl w:val="0"/>
          <w:numId w:val="1007"/>
        </w:numPr>
        <w:pStyle w:val="Compact"/>
      </w:pPr>
      <w:r>
        <w:rPr>
          <w:bCs/>
          <w:b/>
        </w:rPr>
        <w:t xml:space="preserve">Months 1-2:</w:t>
      </w:r>
      <w:r>
        <w:t xml:space="preserve"> </w:t>
      </w:r>
      <w:r>
        <w:t xml:space="preserve">Recruitment and baseline data collection.</w:t>
      </w:r>
    </w:p>
    <w:p>
      <w:pPr>
        <w:numPr>
          <w:ilvl w:val="0"/>
          <w:numId w:val="1007"/>
        </w:numPr>
        <w:pStyle w:val="Compact"/>
      </w:pPr>
      <w:r>
        <w:rPr>
          <w:bCs/>
          <w:b/>
        </w:rPr>
        <w:t xml:space="preserve">Months 3-8:</w:t>
      </w:r>
      <w:r>
        <w:t xml:space="preserve"> </w:t>
      </w:r>
      <w:r>
        <w:t xml:space="preserve">Implementation of the consulting intervention and mid-point data collection.</w:t>
      </w:r>
    </w:p>
    <w:p>
      <w:pPr>
        <w:numPr>
          <w:ilvl w:val="0"/>
          <w:numId w:val="1007"/>
        </w:numPr>
        <w:pStyle w:val="Compact"/>
      </w:pPr>
      <w:r>
        <w:rPr>
          <w:bCs/>
          <w:b/>
        </w:rPr>
        <w:t xml:space="preserve">Month 9:</w:t>
      </w:r>
      <w:r>
        <w:t xml:space="preserve"> </w:t>
      </w:r>
      <w:r>
        <w:t xml:space="preserve">Endpoint data collection and analysis.</w:t>
      </w:r>
    </w:p>
    <w:p>
      <w:pPr>
        <w:numPr>
          <w:ilvl w:val="0"/>
          <w:numId w:val="1007"/>
        </w:numPr>
        <w:pStyle w:val="Compact"/>
      </w:pPr>
      <w:r>
        <w:rPr>
          <w:bCs/>
          <w:b/>
        </w:rPr>
        <w:t xml:space="preserve">Month 10:</w:t>
      </w:r>
      <w:r>
        <w:t xml:space="preserve"> </w:t>
      </w:r>
      <w:r>
        <w:t xml:space="preserve">Reporting and dissemination of findings.</w:t>
      </w:r>
    </w:p>
    <w:bookmarkEnd w:id="29"/>
    <w:bookmarkStart w:id="30" w:name="conclusion"/>
    <w:p>
      <w:pPr>
        <w:pStyle w:val="Heading2"/>
      </w:pPr>
      <w:r>
        <w:t xml:space="preserve">8. Conclusion</w:t>
      </w:r>
    </w:p>
    <w:p>
      <w:pPr>
        <w:pStyle w:val="FirstParagraph"/>
      </w:pPr>
      <w:r>
        <w:t xml:space="preserve">This Experiment Protocol provides a structured approach to evaluating the impact of a Business Consultant in the Germany Berlin market. By focusing on measurable outcomes and adhering to rigorous ethical standards, this study aims to contribute valuable insights to the field of business consulting. The findings will not only benefit the participating companies but also inform best practices for consultants operating in this vibrant and competitive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Germany Berlin</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