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Germany</w:t>
      </w:r>
      <w:r>
        <w:t xml:space="preserve"> </w:t>
      </w:r>
      <w:r>
        <w:t xml:space="preserve">Frankfurt</w:t>
      </w:r>
    </w:p>
    <w:bookmarkStart w:id="33" w:name="X742c2dbc8dabdb20a5d91a91488b271c1832ea5"/>
    <w:p>
      <w:pPr>
        <w:pStyle w:val="Heading1"/>
      </w:pPr>
      <w:r>
        <w:t xml:space="preserve">Experiment Protocol: Business Consultant Efficacy in Germany Frankfurt</w:t>
      </w:r>
    </w:p>
    <w:p>
      <w:pPr>
        <w:pStyle w:val="FirstParagraph"/>
      </w:pPr>
      <w:r>
        <w:rPr>
          <w:bCs/>
          <w:b/>
        </w:rPr>
        <w:t xml:space="preserve">Protocol ID:</w:t>
      </w:r>
      <w:r>
        <w:t xml:space="preserve"> </w:t>
      </w:r>
      <w:r>
        <w:t xml:space="preserve">FR-BC-2024-001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Frankfurt am Main, Germany</w:t>
      </w:r>
    </w:p>
    <w:p>
      <w:pPr>
        <w:pStyle w:val="BodyText"/>
      </w:pPr>
      <w:r>
        <w:rPr>
          <w:bCs/>
          <w:b/>
        </w:rPr>
        <w:t xml:space="preserve">Subject:</w:t>
      </w:r>
      <w:r>
        <w:t xml:space="preserve"> </w:t>
      </w:r>
      <w:r>
        <w:t xml:space="preserve">Quantitative and Qualitative Analysis of Business Consultant Impact on SME Performance</w:t>
      </w:r>
    </w:p>
    <w:bookmarkStart w:id="20" w:name="introduction-and-background"/>
    <w:p>
      <w:pPr>
        <w:pStyle w:val="Heading2"/>
      </w:pPr>
      <w:r>
        <w:t xml:space="preserve">1. Introduction and Background</w:t>
      </w:r>
    </w:p>
    <w:p>
      <w:pPr>
        <w:pStyle w:val="FirstParagraph"/>
      </w:pPr>
      <w:r>
        <w:t xml:space="preserve">Frankfurt am Main stands as the financial and economic heart of Germany, hosting a dense concentration of multinational corporations, financial institutions, and a vibrant ecosystem of small and medium-sized enterprises (SMEs). In this highly competitive environment, the role of the Business Consultant has become increasingly critical. However, the tangible return on investment (ROI) provided by external consulting services remains a subject of debate among local stakeholders.</w:t>
      </w:r>
    </w:p>
    <w:p>
      <w:pPr>
        <w:pStyle w:val="BodyText"/>
      </w:pPr>
      <w:r>
        <w:t xml:space="preserve">This Experiment Protocol outlines a structured research methodology designed to evaluate the specific impact of Business Consultants on operational efficiency, strategic alignment, and financial performance within the Frankfurt market. The study aims to move beyond anecdotal evidence, providing data-driven insights into how consulting interventions correlate with business success in the German regulatory and cultural context.</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direct correlation between the engagement of a Business Consultant and key performance indicators (KPIs) in Frankfurt-based SMEs.</w:t>
      </w:r>
    </w:p>
    <w:p>
      <w:pPr>
        <w:numPr>
          <w:ilvl w:val="0"/>
          <w:numId w:val="1001"/>
        </w:numPr>
        <w:pStyle w:val="Compact"/>
      </w:pPr>
      <w:r>
        <w:t xml:space="preserve">To assess the adaptability of consulting methodologies to the specific legal and cultural frameworks of Germany.</w:t>
      </w:r>
    </w:p>
    <w:p>
      <w:pPr>
        <w:numPr>
          <w:ilvl w:val="0"/>
          <w:numId w:val="1001"/>
        </w:numPr>
        <w:pStyle w:val="Compact"/>
      </w:pPr>
      <w:r>
        <w:t xml:space="preserve">To identify the most effective consulting domains (e.g., digital transformation, compliance, supply chain optimization) within the Frankfurt region.</w:t>
      </w:r>
    </w:p>
    <w:p>
      <w:pPr>
        <w:numPr>
          <w:ilvl w:val="0"/>
          <w:numId w:val="1001"/>
        </w:numPr>
        <w:pStyle w:val="Compact"/>
      </w:pPr>
      <w:r>
        <w:t xml:space="preserve">To evaluate client satisfaction and long-term retention rates post-consultation.</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mixed-methods approach, combining longitudinal quantitative data analysis with qualitative semi-structured interviews. The study will be conducted over a period of 12 months, divided into three phases: Baseline Assessment, Intervention, and Post-Intervention Analysis.</w:t>
      </w:r>
    </w:p>
    <w:bookmarkEnd w:id="22"/>
    <w:bookmarkStart w:id="23" w:name="participant-selection"/>
    <w:p>
      <w:pPr>
        <w:pStyle w:val="Heading3"/>
      </w:pPr>
      <w:r>
        <w:t xml:space="preserve">3.2 Participant Selection</w:t>
      </w:r>
    </w:p>
    <w:p>
      <w:pPr>
        <w:pStyle w:val="FirstParagraph"/>
      </w:pPr>
      <w:r>
        <w:t xml:space="preserve">Participants will be selected from the Frankfurt metropolitan area. The sample size will consist of 50 SMEs, categorized into two groups:</w:t>
      </w:r>
    </w:p>
    <w:p>
      <w:pPr>
        <w:numPr>
          <w:ilvl w:val="0"/>
          <w:numId w:val="1002"/>
        </w:numPr>
        <w:pStyle w:val="Compact"/>
      </w:pPr>
      <w:r>
        <w:rPr>
          <w:bCs/>
          <w:b/>
        </w:rPr>
        <w:t xml:space="preserve">Group A (Intervention Group):</w:t>
      </w:r>
      <w:r>
        <w:t xml:space="preserve"> </w:t>
      </w:r>
      <w:r>
        <w:t xml:space="preserve">25 companies actively engaging a certified Business Consultant for a specific project.</w:t>
      </w:r>
    </w:p>
    <w:p>
      <w:pPr>
        <w:numPr>
          <w:ilvl w:val="0"/>
          <w:numId w:val="1002"/>
        </w:numPr>
        <w:pStyle w:val="Compact"/>
      </w:pPr>
      <w:r>
        <w:rPr>
          <w:bCs/>
          <w:b/>
        </w:rPr>
        <w:t xml:space="preserve">Group B (Control Group):</w:t>
      </w:r>
      <w:r>
        <w:t xml:space="preserve"> </w:t>
      </w:r>
      <w:r>
        <w:t xml:space="preserve">25 companies operating without external consulting support during the study period.</w:t>
      </w:r>
    </w:p>
    <w:p>
      <w:pPr>
        <w:pStyle w:val="FirstParagraph"/>
      </w:pPr>
      <w:r>
        <w:t xml:space="preserve">Inclusion criteria require companies to have been established in Germany for at least three years and to employ between 10 and 200 staff members.</w:t>
      </w:r>
    </w:p>
    <w:bookmarkEnd w:id="23"/>
    <w:bookmarkStart w:id="24" w:name="data-collection-instruments"/>
    <w:p>
      <w:pPr>
        <w:pStyle w:val="Heading3"/>
      </w:pPr>
      <w:r>
        <w:t xml:space="preserve">3.3 Data Collection Instruments</w:t>
      </w:r>
    </w:p>
    <w:p>
      <w:pPr>
        <w:pStyle w:val="FirstParagraph"/>
      </w:pPr>
      <w:r>
        <w:t xml:space="preserve">Data will be collected using the following instruments:</w:t>
      </w:r>
    </w:p>
    <w:p>
      <w:pPr>
        <w:numPr>
          <w:ilvl w:val="0"/>
          <w:numId w:val="1003"/>
        </w:numPr>
        <w:pStyle w:val="Compact"/>
      </w:pPr>
      <w:r>
        <w:rPr>
          <w:bCs/>
          <w:b/>
        </w:rPr>
        <w:t xml:space="preserve">Financial Audits:</w:t>
      </w:r>
      <w:r>
        <w:t xml:space="preserve"> </w:t>
      </w:r>
      <w:r>
        <w:t xml:space="preserve">Quarterly analysis of revenue, profit margins, and cost structures.</w:t>
      </w:r>
    </w:p>
    <w:p>
      <w:pPr>
        <w:numPr>
          <w:ilvl w:val="0"/>
          <w:numId w:val="1003"/>
        </w:numPr>
        <w:pStyle w:val="Compact"/>
      </w:pPr>
      <w:r>
        <w:rPr>
          <w:bCs/>
          <w:b/>
        </w:rPr>
        <w:t xml:space="preserve">Operational Metrics:</w:t>
      </w:r>
      <w:r>
        <w:t xml:space="preserve"> </w:t>
      </w:r>
      <w:r>
        <w:t xml:space="preserve">Tracking of process cycle times, error rates, and resource utilization.</w:t>
      </w:r>
    </w:p>
    <w:p>
      <w:pPr>
        <w:numPr>
          <w:ilvl w:val="0"/>
          <w:numId w:val="1003"/>
        </w:numPr>
        <w:pStyle w:val="Compact"/>
      </w:pPr>
      <w:r>
        <w:rPr>
          <w:bCs/>
          <w:b/>
        </w:rPr>
        <w:t xml:space="preserve">Employee Surveys:</w:t>
      </w:r>
      <w:r>
        <w:t xml:space="preserve"> </w:t>
      </w:r>
      <w:r>
        <w:t xml:space="preserve">Anonymous surveys measuring organizational culture, clarity of strategy, and employee engagement.</w:t>
      </w:r>
    </w:p>
    <w:p>
      <w:pPr>
        <w:numPr>
          <w:ilvl w:val="0"/>
          <w:numId w:val="1003"/>
        </w:numPr>
        <w:pStyle w:val="Compact"/>
      </w:pPr>
      <w:r>
        <w:rPr>
          <w:bCs/>
          <w:b/>
        </w:rPr>
        <w:t xml:space="preserve">Consultant Logs:</w:t>
      </w:r>
      <w:r>
        <w:t xml:space="preserve"> </w:t>
      </w:r>
      <w:r>
        <w:t xml:space="preserve">Detailed records of hours spent, recommendations made, and implementation status by the Business Consultant.</w:t>
      </w:r>
    </w:p>
    <w:bookmarkEnd w:id="24"/>
    <w:bookmarkEnd w:id="25"/>
    <w:bookmarkStart w:id="29" w:name="experimental-procedure"/>
    <w:p>
      <w:pPr>
        <w:pStyle w:val="Heading2"/>
      </w:pPr>
      <w:r>
        <w:t xml:space="preserve">4. Experimental Procedure</w:t>
      </w:r>
    </w:p>
    <w:bookmarkStart w:id="26" w:name="phase-1-baseline-assessment-months-1-2"/>
    <w:p>
      <w:pPr>
        <w:pStyle w:val="Heading3"/>
      </w:pPr>
      <w:r>
        <w:t xml:space="preserve">Phase 1: Baseline Assessment (Months 1-2)</w:t>
      </w:r>
    </w:p>
    <w:p>
      <w:pPr>
        <w:pStyle w:val="FirstParagraph"/>
      </w:pPr>
      <w:r>
        <w:t xml:space="preserve">During this phase, researchers will establish baseline metrics for all 50 participating companies in Frankfurt. This includes a comprehensive review of current financial health, operational workflows, and strategic goals. For Group A, this phase also involves the selection and onboarding of the Business Consultant, ensuring alignment with German labor laws and data protection regulations (GDPR).</w:t>
      </w:r>
    </w:p>
    <w:bookmarkEnd w:id="26"/>
    <w:bookmarkStart w:id="27" w:name="phase-2-intervention-months-3-9"/>
    <w:p>
      <w:pPr>
        <w:pStyle w:val="Heading3"/>
      </w:pPr>
      <w:r>
        <w:t xml:space="preserve">Phase 2: Intervention (Months 3-9)</w:t>
      </w:r>
    </w:p>
    <w:p>
      <w:pPr>
        <w:pStyle w:val="FirstParagraph"/>
      </w:pPr>
      <w:r>
        <w:t xml:space="preserve">Group A will undergo consulting interventions tailored to their specific needs, such as digitalization strategies or market expansion plans relevant to the Frankfurt economy. Group B will continue operations as usual. Researchers will monitor both groups quarterly, collecting data on KPIs and conducting mid-term interviews with management teams to gauge perceived value and challenges.</w:t>
      </w:r>
    </w:p>
    <w:bookmarkEnd w:id="27"/>
    <w:bookmarkStart w:id="28" w:name="X74d77116fe972685d31ea1f50036895ba5ecc54"/>
    <w:p>
      <w:pPr>
        <w:pStyle w:val="Heading3"/>
      </w:pPr>
      <w:r>
        <w:t xml:space="preserve">Phase 3: Post-Intervention Analysis (Months 10-12)</w:t>
      </w:r>
    </w:p>
    <w:p>
      <w:pPr>
        <w:pStyle w:val="FirstParagraph"/>
      </w:pPr>
      <w:r>
        <w:t xml:space="preserve">The final phase involves a comparative analysis of data from both groups. Researchers will calculate the delta in performance metrics, attributing changes in Group A to the consulting intervention where statistically significant. Qualitative feedback will be synthesized to understand the nuances of the consultant-client relationship in the German business culture.</w:t>
      </w:r>
    </w:p>
    <w:bookmarkEnd w:id="28"/>
    <w:bookmarkEnd w:id="29"/>
    <w:bookmarkStart w:id="30" w:name="ethical-considerations-and-compliance"/>
    <w:p>
      <w:pPr>
        <w:pStyle w:val="Heading2"/>
      </w:pPr>
      <w:r>
        <w:t xml:space="preserve">5. Ethical Considerations and Compliance</w:t>
      </w:r>
    </w:p>
    <w:p>
      <w:pPr>
        <w:pStyle w:val="FirstParagraph"/>
      </w:pPr>
      <w:r>
        <w:t xml:space="preserve">Given the sensitive nature of business data, this experiment strictly adheres to the General Data Protection Regulation (GDPR) and German trade secret laws. All participant data will be anonymized and stored on secure servers located within the European Union. Informed consent will be obtained from all company owners and relevant stakeholders prior to the commencement of the study. Participants retain the right to withdraw from the experiment at any time without penalty.</w:t>
      </w:r>
    </w:p>
    <w:bookmarkEnd w:id="30"/>
    <w:bookmarkStart w:id="31" w:name="expected-outcomes-and-deliverables"/>
    <w:p>
      <w:pPr>
        <w:pStyle w:val="Heading2"/>
      </w:pPr>
      <w:r>
        <w:t xml:space="preserve">6. Expected Outcomes and Deliverables</w:t>
      </w:r>
    </w:p>
    <w:p>
      <w:pPr>
        <w:pStyle w:val="FirstParagraph"/>
      </w:pPr>
      <w:r>
        <w:t xml:space="preserve">The experiment aims to produce a comprehensive report detailing the efficacy of Business Consultants in the Frankfurt market. Key deliverables include:</w:t>
      </w:r>
    </w:p>
    <w:p>
      <w:pPr>
        <w:numPr>
          <w:ilvl w:val="0"/>
          <w:numId w:val="1004"/>
        </w:numPr>
        <w:pStyle w:val="Compact"/>
      </w:pPr>
      <w:r>
        <w:t xml:space="preserve">A statistical model predicting ROI based on consulting engagement type and duration.</w:t>
      </w:r>
    </w:p>
    <w:p>
      <w:pPr>
        <w:numPr>
          <w:ilvl w:val="0"/>
          <w:numId w:val="1004"/>
        </w:numPr>
        <w:pStyle w:val="Compact"/>
      </w:pPr>
      <w:r>
        <w:t xml:space="preserve">Best practice guidelines for SMEs in Germany seeking external advisory services.</w:t>
      </w:r>
    </w:p>
    <w:p>
      <w:pPr>
        <w:numPr>
          <w:ilvl w:val="0"/>
          <w:numId w:val="1004"/>
        </w:numPr>
        <w:pStyle w:val="Compact"/>
      </w:pPr>
      <w:r>
        <w:t xml:space="preserve">Recommendations for Business Consultants on adapting their methodologies to the local regulatory environment.</w:t>
      </w:r>
    </w:p>
    <w:p>
      <w:pPr>
        <w:pStyle w:val="FirstParagraph"/>
      </w:pPr>
      <w:r>
        <w:t xml:space="preserve">By rigorously testing the impact of consulting services, this protocol seeks to enhance transparency and trust in the consulting industry, ultimately fostering a more robust and efficient business environment in Frankfurt am Main.</w:t>
      </w:r>
    </w:p>
    <w:bookmarkEnd w:id="31"/>
    <w:bookmarkStart w:id="32" w:name="approval-and-signatures"/>
    <w:p>
      <w:pPr>
        <w:pStyle w:val="Heading2"/>
      </w:pPr>
      <w:r>
        <w:t xml:space="preserve">7. Approval and Signatures</w:t>
      </w:r>
    </w:p>
    <w:p>
      <w:pPr>
        <w:pStyle w:val="FirstParagraph"/>
      </w:pPr>
      <w:r>
        <w:t xml:space="preserve">This Experiment Protocol has been reviewed and approved by the Research Ethics Committee and the Project Steering Group.</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Role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Dr. Hans Mueller</w:t>
            </w:r>
          </w:p>
        </w:tc>
        <w:tc>
          <w:tcPr/>
          <w:p>
            <w:pPr>
              <w:pStyle w:val="Compact"/>
              <w:jc w:val="left"/>
            </w:pPr>
            <w:r>
              <w:t xml:space="preserve">Lead Researcher</w:t>
            </w:r>
          </w:p>
        </w:tc>
        <w:tc>
          <w:tcPr/>
          <w:p>
            <w:pPr>
              <w:pStyle w:val="Compact"/>
              <w:jc w:val="left"/>
            </w:pPr>
            <w:r>
              <w:t xml:space="preserve">[Signature]</w:t>
            </w:r>
          </w:p>
        </w:tc>
        <w:tc>
          <w:tcPr/>
          <w:p>
            <w:pPr>
              <w:pStyle w:val="Compact"/>
              <w:jc w:val="left"/>
            </w:pPr>
            <w:r>
              <w:t xml:space="preserve">Oct 26, 2024</w:t>
            </w:r>
          </w:p>
        </w:tc>
      </w:tr>
      <w:tr>
        <w:tc>
          <w:tcPr/>
          <w:p>
            <w:pPr>
              <w:pStyle w:val="Compact"/>
              <w:jc w:val="left"/>
            </w:pPr>
            <w:r>
              <w:t xml:space="preserve">Elena Schmidt</w:t>
            </w:r>
          </w:p>
        </w:tc>
        <w:tc>
          <w:tcPr/>
          <w:p>
            <w:pPr>
              <w:pStyle w:val="Compact"/>
              <w:jc w:val="left"/>
            </w:pPr>
            <w:r>
              <w:t xml:space="preserve">Compliance Officer</w:t>
            </w:r>
          </w:p>
        </w:tc>
        <w:tc>
          <w:tcPr/>
          <w:p>
            <w:pPr>
              <w:pStyle w:val="Compact"/>
              <w:jc w:val="left"/>
            </w:pPr>
            <w:r>
              <w:t xml:space="preserve">[Signature]</w:t>
            </w:r>
          </w:p>
        </w:tc>
        <w:tc>
          <w:tcPr/>
          <w:p>
            <w:pPr>
              <w:pStyle w:val="Compact"/>
              <w:jc w:val="left"/>
            </w:pPr>
            <w:r>
              <w:t xml:space="preserve">Oct 26, 2024</w:t>
            </w:r>
          </w:p>
        </w:tc>
      </w:tr>
    </w:tbl>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Germany Frankfurt</dc:title>
  <dc:creator/>
  <dc:language>en</dc:language>
  <cp:keywords/>
  <dcterms:created xsi:type="dcterms:W3CDTF">2026-10-10T09:14:26Z</dcterms:created>
  <dcterms:modified xsi:type="dcterms:W3CDTF">2026-10-10T09:14:26Z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