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Germany</w:t>
      </w:r>
      <w:r>
        <w:t xml:space="preserve"> </w:t>
      </w:r>
      <w:r>
        <w:t xml:space="preserve">Munich</w:t>
      </w:r>
    </w:p>
    <w:bookmarkStart w:id="32" w:name="Xd6170e7501e0b9a4ead061cfe370e9c6392ffa8"/>
    <w:p>
      <w:pPr>
        <w:pStyle w:val="Heading1"/>
      </w:pPr>
      <w:r>
        <w:t xml:space="preserve">Experiment Protocol: Strategic Impact of Business Consultant Interventions in Germany Munich</w:t>
      </w:r>
    </w:p>
    <w:p>
      <w:pPr>
        <w:pStyle w:val="FirstParagraph"/>
      </w:pPr>
      <w:r>
        <w:rPr>
          <w:bCs/>
          <w:b/>
        </w:rPr>
        <w:t xml:space="preserve">Protocol ID:</w:t>
      </w:r>
      <w:r>
        <w:t xml:space="preserve"> </w:t>
      </w:r>
      <w:r>
        <w:t xml:space="preserve">EXP-MUC-BC-2024-001</w:t>
      </w:r>
    </w:p>
    <w:p>
      <w:pPr>
        <w:pStyle w:val="BodyText"/>
      </w:pPr>
      <w:r>
        <w:rPr>
          <w:bCs/>
          <w:b/>
        </w:rPr>
        <w:t xml:space="preserve">Location:</w:t>
      </w:r>
      <w:r>
        <w:t xml:space="preserve"> </w:t>
      </w:r>
      <w:r>
        <w:t xml:space="preserve">Munich, Bavaria, Germany</w:t>
      </w:r>
    </w:p>
    <w:p>
      <w:pPr>
        <w:pStyle w:val="BodyText"/>
      </w:pPr>
      <w:r>
        <w:rPr>
          <w:bCs/>
          <w:b/>
        </w:rPr>
        <w:t xml:space="preserve">Subject:</w:t>
      </w:r>
      <w:r>
        <w:t xml:space="preserve"> </w:t>
      </w:r>
      <w:r>
        <w:t xml:space="preserve">Business Consultant</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Munich, Germany, stands as a pivotal hub for technology, automotive engineering, and finance within the European Union. The local business environment is characterized by a unique blend of traditional Mittelstand enterprises and rapidly scaling tech startups. In this high-stakes ecosystem, the role of the Business Consultant is critical yet often difficult to quantify. This Experiment Protocol is designed to rigorously test the efficacy of specific consulting methodologies when applied to mid-sized manufacturing and software firms located in the Munich metropolitan area.</w:t>
      </w:r>
    </w:p>
    <w:p>
      <w:pPr>
        <w:pStyle w:val="BodyText"/>
      </w:pPr>
      <w:r>
        <w:t xml:space="preserve">The primary objective is to move beyond anecdotal evidence and establish a data-driven framework for evaluating how external Business Consultant interventions influence operational efficiency, digital transformation adoption, and revenue growth within the specific cultural and regulatory context of Germany Munich.</w:t>
      </w:r>
    </w:p>
    <w:bookmarkEnd w:id="20"/>
    <w:bookmarkStart w:id="21" w:name="objectives"/>
    <w:p>
      <w:pPr>
        <w:pStyle w:val="Heading2"/>
      </w:pPr>
      <w:r>
        <w:t xml:space="preserve">2. Objectives</w:t>
      </w:r>
    </w:p>
    <w:p>
      <w:pPr>
        <w:pStyle w:val="FirstParagraph"/>
      </w:pPr>
      <w:r>
        <w:t xml:space="preserve">This experiment aims to achieve the following specific goals:</w:t>
      </w:r>
    </w:p>
    <w:p>
      <w:pPr>
        <w:numPr>
          <w:ilvl w:val="0"/>
          <w:numId w:val="1001"/>
        </w:numPr>
        <w:pStyle w:val="Compact"/>
      </w:pPr>
      <w:r>
        <w:t xml:space="preserve">Quantify the direct correlation between Business Consultant engagement and Key Performance Indicators (KPIs) over a six-month period.</w:t>
      </w:r>
    </w:p>
    <w:p>
      <w:pPr>
        <w:numPr>
          <w:ilvl w:val="0"/>
          <w:numId w:val="1001"/>
        </w:numPr>
        <w:pStyle w:val="Compact"/>
      </w:pPr>
      <w:r>
        <w:t xml:space="preserve">Analyze the cultural fit of Western consulting frameworks within the traditional German corporate hierarchy prevalent in Munich.</w:t>
      </w:r>
    </w:p>
    <w:p>
      <w:pPr>
        <w:numPr>
          <w:ilvl w:val="0"/>
          <w:numId w:val="1001"/>
        </w:numPr>
        <w:pStyle w:val="Compact"/>
      </w:pPr>
      <w:r>
        <w:t xml:space="preserve">Determine the optimal duration of consultant involvement required to achieve sustainable process improvements.</w:t>
      </w:r>
    </w:p>
    <w:p>
      <w:pPr>
        <w:numPr>
          <w:ilvl w:val="0"/>
          <w:numId w:val="1001"/>
        </w:numPr>
        <w:pStyle w:val="Compact"/>
      </w:pPr>
      <w:r>
        <w:t xml:space="preserve">Evaluate the return on investment (ROI) for companies in Germany Munich that hire specialized Business Consultants versus those relying on internal management.</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experiment will utilize a randomized controlled trial (RCT) design. We will recruit 40 companies based in Munich, Germany, with a minimum of 50 employees. These companies will be randomly assigned to two groups:</w:t>
      </w:r>
    </w:p>
    <w:p>
      <w:pPr>
        <w:numPr>
          <w:ilvl w:val="0"/>
          <w:numId w:val="1002"/>
        </w:numPr>
        <w:pStyle w:val="Compact"/>
      </w:pPr>
      <w:r>
        <w:rPr>
          <w:bCs/>
          <w:b/>
        </w:rPr>
        <w:t xml:space="preserve">Control Group (n=20):</w:t>
      </w:r>
      <w:r>
        <w:t xml:space="preserve"> </w:t>
      </w:r>
      <w:r>
        <w:t xml:space="preserve">Companies will continue their standard operational procedures without external Business Consultant intervention.</w:t>
      </w:r>
    </w:p>
    <w:p>
      <w:pPr>
        <w:numPr>
          <w:ilvl w:val="0"/>
          <w:numId w:val="1002"/>
        </w:numPr>
        <w:pStyle w:val="Compact"/>
      </w:pPr>
      <w:r>
        <w:rPr>
          <w:bCs/>
          <w:b/>
        </w:rPr>
        <w:t xml:space="preserve">Treatment Group (n=20):</w:t>
      </w:r>
      <w:r>
        <w:t xml:space="preserve"> </w:t>
      </w:r>
      <w:r>
        <w:t xml:space="preserve">Companies will engage a certified Business Consultant for a fixed period of 12 weeks, focusing on process optimization and digital strategy.</w:t>
      </w:r>
    </w:p>
    <w:bookmarkEnd w:id="22"/>
    <w:bookmarkStart w:id="23" w:name="participant-selection-criteria"/>
    <w:p>
      <w:pPr>
        <w:pStyle w:val="Heading3"/>
      </w:pPr>
      <w:r>
        <w:t xml:space="preserve">3.2 Participant Selection Criteria</w:t>
      </w:r>
    </w:p>
    <w:p>
      <w:pPr>
        <w:pStyle w:val="FirstParagraph"/>
      </w:pPr>
      <w:r>
        <w:t xml:space="preserve">To ensure the validity of the results within the Germany Munich market, participants must meet the following criteria:</w:t>
      </w:r>
    </w:p>
    <w:p>
      <w:pPr>
        <w:numPr>
          <w:ilvl w:val="0"/>
          <w:numId w:val="1003"/>
        </w:numPr>
        <w:pStyle w:val="Compact"/>
      </w:pPr>
      <w:r>
        <w:t xml:space="preserve">Headquarters must be physically located within the city limits of Munich or the immediate surrounding district (Landkreis München).</w:t>
      </w:r>
    </w:p>
    <w:p>
      <w:pPr>
        <w:numPr>
          <w:ilvl w:val="0"/>
          <w:numId w:val="1003"/>
        </w:numPr>
        <w:pStyle w:val="Compact"/>
      </w:pPr>
      <w:r>
        <w:t xml:space="preserve">Companies must operate in either the manufacturing or information technology sectors.</w:t>
      </w:r>
    </w:p>
    <w:p>
      <w:pPr>
        <w:numPr>
          <w:ilvl w:val="0"/>
          <w:numId w:val="1003"/>
        </w:numPr>
        <w:pStyle w:val="Compact"/>
      </w:pPr>
      <w:r>
        <w:t xml:space="preserve">Annual revenue must be between €5 million and €50 million.</w:t>
      </w:r>
    </w:p>
    <w:p>
      <w:pPr>
        <w:numPr>
          <w:ilvl w:val="0"/>
          <w:numId w:val="1003"/>
        </w:numPr>
        <w:pStyle w:val="Compact"/>
      </w:pPr>
      <w:r>
        <w:t xml:space="preserve">Willingness to share anonymized financial and operational data for the duration of the experiment.</w:t>
      </w:r>
    </w:p>
    <w:bookmarkEnd w:id="23"/>
    <w:bookmarkEnd w:id="24"/>
    <w:bookmarkStart w:id="28" w:name="experimental-procedure"/>
    <w:p>
      <w:pPr>
        <w:pStyle w:val="Heading2"/>
      </w:pPr>
      <w:r>
        <w:t xml:space="preserve">4. Experimental Procedure</w:t>
      </w:r>
    </w:p>
    <w:bookmarkStart w:id="25" w:name="phase-1-baseline-assessment-weeks-1-2"/>
    <w:p>
      <w:pPr>
        <w:pStyle w:val="Heading3"/>
      </w:pPr>
      <w:r>
        <w:t xml:space="preserve">4.1 Phase 1: Baseline Assessment (Weeks 1-2)</w:t>
      </w:r>
    </w:p>
    <w:p>
      <w:pPr>
        <w:pStyle w:val="FirstParagraph"/>
      </w:pPr>
      <w:r>
        <w:t xml:space="preserve">Before any intervention, a comprehensive audit will be conducted for all 40 companies. This baseline data will include current workflow efficiency metrics, employee satisfaction scores, and financial health indicators. This step is crucial to establish a control point against which the Business Consultant's impact can be measured.</w:t>
      </w:r>
    </w:p>
    <w:bookmarkEnd w:id="25"/>
    <w:bookmarkStart w:id="26" w:name="phase-2-intervention-weeks-3-14"/>
    <w:p>
      <w:pPr>
        <w:pStyle w:val="Heading3"/>
      </w:pPr>
      <w:r>
        <w:t xml:space="preserve">4.2 Phase 2: Intervention (Weeks 3-14)</w:t>
      </w:r>
    </w:p>
    <w:p>
      <w:pPr>
        <w:pStyle w:val="FirstParagraph"/>
      </w:pPr>
      <w:r>
        <w:t xml:space="preserve">During this phase, the Treatment Group will work closely with their assigned Business Consultant. The consultant is required to adhere to a standardized protocol of intervention, which includes:</w:t>
      </w:r>
    </w:p>
    <w:p>
      <w:pPr>
        <w:numPr>
          <w:ilvl w:val="0"/>
          <w:numId w:val="1004"/>
        </w:numPr>
        <w:pStyle w:val="Compact"/>
      </w:pPr>
      <w:r>
        <w:t xml:space="preserve">Conducting stakeholder interviews with German-speaking management teams.</w:t>
      </w:r>
    </w:p>
    <w:p>
      <w:pPr>
        <w:numPr>
          <w:ilvl w:val="0"/>
          <w:numId w:val="1004"/>
        </w:numPr>
        <w:pStyle w:val="Compact"/>
      </w:pPr>
      <w:r>
        <w:t xml:space="preserve">Implementing agile methodologies adapted for German regulatory compliance.</w:t>
      </w:r>
    </w:p>
    <w:p>
      <w:pPr>
        <w:numPr>
          <w:ilvl w:val="0"/>
          <w:numId w:val="1004"/>
        </w:numPr>
        <w:pStyle w:val="Compact"/>
      </w:pPr>
      <w:r>
        <w:t xml:space="preserve">Developing a strategic roadmap for digital integration.</w:t>
      </w:r>
    </w:p>
    <w:p>
      <w:pPr>
        <w:pStyle w:val="FirstParagraph"/>
      </w:pPr>
      <w:r>
        <w:t xml:space="preserve">The Control Group will receive no such support but will be monitored to ensure they do not independently hire external consultants during this period.</w:t>
      </w:r>
    </w:p>
    <w:bookmarkEnd w:id="26"/>
    <w:bookmarkStart w:id="27" w:name="X7946da3c7584bde3f2ff99afaeee345957ae07c"/>
    <w:p>
      <w:pPr>
        <w:pStyle w:val="Heading3"/>
      </w:pPr>
      <w:r>
        <w:t xml:space="preserve">4.3 Phase 3: Post-Intervention Analysis (Weeks 15-24)</w:t>
      </w:r>
    </w:p>
    <w:p>
      <w:pPr>
        <w:pStyle w:val="FirstParagraph"/>
      </w:pPr>
      <w:r>
        <w:t xml:space="preserve">Following the conclusion of the consulting engagement, both groups will be monitored for an additional 10 weeks. This period is designed to test the sustainability of the changes implemented by the Business Consultant. Data collection will resume to measure long-term effects on productivity and profitability.</w:t>
      </w:r>
    </w:p>
    <w:bookmarkEnd w:id="27"/>
    <w:bookmarkEnd w:id="28"/>
    <w:bookmarkStart w:id="29" w:name="data-collection-and-metrics"/>
    <w:p>
      <w:pPr>
        <w:pStyle w:val="Heading2"/>
      </w:pPr>
      <w:r>
        <w:t xml:space="preserve">5. Data Collection and Metrics</w:t>
      </w:r>
    </w:p>
    <w:p>
      <w:pPr>
        <w:pStyle w:val="FirstParagraph"/>
      </w:pPr>
      <w:r>
        <w:t xml:space="preserve">Data will be collected through a combination of quantitative and qualitative methods. Key metrics include:</w:t>
      </w:r>
    </w:p>
    <w:p>
      <w:pPr>
        <w:numPr>
          <w:ilvl w:val="0"/>
          <w:numId w:val="1005"/>
        </w:numPr>
        <w:pStyle w:val="Compact"/>
      </w:pPr>
      <w:r>
        <w:rPr>
          <w:bCs/>
          <w:b/>
        </w:rPr>
        <w:t xml:space="preserve">Operational Efficiency:</w:t>
      </w:r>
      <w:r>
        <w:t xml:space="preserve"> </w:t>
      </w:r>
      <w:r>
        <w:t xml:space="preserve">Measured by cycle time reduction and error rates in production or code deployment.</w:t>
      </w:r>
    </w:p>
    <w:p>
      <w:pPr>
        <w:numPr>
          <w:ilvl w:val="0"/>
          <w:numId w:val="1005"/>
        </w:numPr>
        <w:pStyle w:val="Compact"/>
      </w:pPr>
      <w:r>
        <w:rPr>
          <w:bCs/>
          <w:b/>
        </w:rPr>
        <w:t xml:space="preserve">Financial Performance:</w:t>
      </w:r>
      <w:r>
        <w:t xml:space="preserve"> </w:t>
      </w:r>
      <w:r>
        <w:t xml:space="preserve">Analysis of cost savings and revenue growth attributed to strategic shifts.</w:t>
      </w:r>
    </w:p>
    <w:p>
      <w:pPr>
        <w:numPr>
          <w:ilvl w:val="0"/>
          <w:numId w:val="1005"/>
        </w:numPr>
        <w:pStyle w:val="Compact"/>
      </w:pPr>
      <w:r>
        <w:rPr>
          <w:bCs/>
          <w:b/>
        </w:rPr>
        <w:t xml:space="preserve">Employee Engagement:</w:t>
      </w:r>
      <w:r>
        <w:t xml:space="preserve"> </w:t>
      </w:r>
      <w:r>
        <w:t xml:space="preserve">Surveys conducted in German to assess staff morale and adaptation to new processes.</w:t>
      </w:r>
    </w:p>
    <w:p>
      <w:pPr>
        <w:numPr>
          <w:ilvl w:val="0"/>
          <w:numId w:val="1005"/>
        </w:numPr>
        <w:pStyle w:val="Compact"/>
      </w:pPr>
      <w:r>
        <w:rPr>
          <w:bCs/>
          <w:b/>
        </w:rPr>
        <w:t xml:space="preserve">Consultant Utilization:</w:t>
      </w:r>
      <w:r>
        <w:t xml:space="preserve"> </w:t>
      </w:r>
      <w:r>
        <w:t xml:space="preserve">Tracking the hours spent by the Business Consultant on high-value strategic tasks versus administrative duties.</w:t>
      </w:r>
    </w:p>
    <w:bookmarkEnd w:id="29"/>
    <w:bookmarkStart w:id="30" w:name="ethical-considerations-and-compliance"/>
    <w:p>
      <w:pPr>
        <w:pStyle w:val="Heading2"/>
      </w:pPr>
      <w:r>
        <w:t xml:space="preserve">6. Ethical Considerations and Compliance</w:t>
      </w:r>
    </w:p>
    <w:p>
      <w:pPr>
        <w:pStyle w:val="FirstParagraph"/>
      </w:pPr>
      <w:r>
        <w:t xml:space="preserve">Given the location in Germany Munich, strict adherence to data protection laws is mandatory. All data collected will be processed in compliance with the General Data Protection Regulation (GDPR) and the German Federal Data Protection Act (BDSG). Participants will provide informed consent, and all company-specific data will be anonymized before analysis. The experiment has been reviewed to ensure it does not violate local labor laws or commercial regulations.</w:t>
      </w:r>
    </w:p>
    <w:bookmarkEnd w:id="30"/>
    <w:bookmarkStart w:id="31" w:name="expected-outcomes-and-significance"/>
    <w:p>
      <w:pPr>
        <w:pStyle w:val="Heading2"/>
      </w:pPr>
      <w:r>
        <w:t xml:space="preserve">7. Expected Outcomes and Significance</w:t>
      </w:r>
    </w:p>
    <w:p>
      <w:pPr>
        <w:pStyle w:val="FirstParagraph"/>
      </w:pPr>
      <w:r>
        <w:t xml:space="preserve">We anticipate that the Treatment Group will demonstrate statistically significant improvements in operational efficiency compared to the Control Group. However, the experiment also seeks to identify potential friction points where the Business Consultant's recommendations may clash with the deeply rooted corporate culture of Munich. The findings will provide a robust framework for businesses in Germany Munich to make informed decisions regarding the hiring of external consultants, ensuring that such investments yield tangible, measurable results.</w:t>
      </w:r>
    </w:p>
    <w:p>
      <w:pPr>
        <w:pStyle w:val="BodyText"/>
      </w:pPr>
      <w:r>
        <w:rPr>
          <w:bCs/>
          <w:b/>
        </w:rPr>
        <w:t xml:space="preserve">Note:</w:t>
      </w:r>
      <w:r>
        <w:t xml:space="preserve"> </w:t>
      </w:r>
      <w:r>
        <w:t xml:space="preserve">This protocol is subject to revision based on preliminary findings or changes in the regulatory environment of Bavaria,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Germany Munich</dc:title>
  <dc:creator/>
  <dc:language>en</dc:language>
  <cp:keywords/>
  <dcterms:created xsi:type="dcterms:W3CDTF">2026-10-10T06:10:41Z</dcterms:created>
  <dcterms:modified xsi:type="dcterms:W3CDTF">2026-10-10T06:10:41Z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