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Iran</w:t>
      </w:r>
      <w:r>
        <w:t xml:space="preserve"> </w:t>
      </w:r>
      <w:r>
        <w:t xml:space="preserve">Tehran</w:t>
      </w:r>
    </w:p>
    <w:bookmarkStart w:id="32" w:name="Xe72039708f8f1eb8582fa816086c07c5d1430bf"/>
    <w:p>
      <w:pPr>
        <w:pStyle w:val="Heading1"/>
      </w:pPr>
      <w:r>
        <w:t xml:space="preserve">Experiment Protocol: Business Consultant Efficacy in Iran Tehran</w:t>
      </w:r>
    </w:p>
    <w:p>
      <w:pPr>
        <w:pStyle w:val="FirstParagraph"/>
      </w:pPr>
      <w:r>
        <w:rPr>
          <w:bCs/>
          <w:b/>
        </w:rPr>
        <w:t xml:space="preserve">Document ID:</w:t>
      </w:r>
      <w:r>
        <w:t xml:space="preserve"> </w:t>
      </w:r>
      <w:r>
        <w:t xml:space="preserve">BP-TEHRAN-2024-001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Tehran, Iran</w:t>
      </w:r>
    </w:p>
    <w:p>
      <w:pPr>
        <w:pStyle w:val="BodyText"/>
      </w:pPr>
      <w:r>
        <w:rPr>
          <w:bCs/>
          <w:b/>
        </w:rPr>
        <w:t xml:space="preserve">Subject:</w:t>
      </w:r>
      <w:r>
        <w:t xml:space="preserve"> </w:t>
      </w:r>
      <w:r>
        <w:t xml:space="preserve">Evaluation of Business Consultant Impact on SME Performance</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impact of professional Business Consultant services on Small and Medium Enterprises (SMEs) operating within the economic landscape of Iran Tehran. Tehran serves as the primary commercial hub of Iran, characterized by a dynamic yet complex regulatory environment, fluctuating currency conditions, and a rapidly evolving digital marketplace.</w:t>
      </w:r>
    </w:p>
    <w:p>
      <w:pPr>
        <w:pStyle w:val="BodyText"/>
      </w:pPr>
      <w:r>
        <w:t xml:space="preserve">The role of the Business Consultant in this context is critical. Consultants are expected to provide strategic guidance, operational optimization, and compliance navigation. However, empirical data regarding the specific efficacy of consulting interventions in the Tehran market remains limited. This experiment aims to fill that gap by providing a structured, measurable approach to evaluating consultant performance and client outcomes.</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quantify the impact of Business Consultant interventions on key performance indicators (KPIs) of SMEs in Tehran.</w:t>
      </w:r>
    </w:p>
    <w:p>
      <w:pPr>
        <w:numPr>
          <w:ilvl w:val="0"/>
          <w:numId w:val="1001"/>
        </w:numPr>
        <w:pStyle w:val="Compact"/>
      </w:pPr>
      <w:r>
        <w:t xml:space="preserve">To assess the adaptability of consulting methodologies to the specific cultural and regulatory nuances of Iran Tehran.</w:t>
      </w:r>
    </w:p>
    <w:p>
      <w:pPr>
        <w:numPr>
          <w:ilvl w:val="0"/>
          <w:numId w:val="1001"/>
        </w:numPr>
        <w:pStyle w:val="Compact"/>
      </w:pPr>
      <w:r>
        <w:t xml:space="preserve">To identify the most effective consulting strategies for navigating economic volatility in the region.</w:t>
      </w:r>
    </w:p>
    <w:p>
      <w:pPr>
        <w:numPr>
          <w:ilvl w:val="0"/>
          <w:numId w:val="1001"/>
        </w:numPr>
        <w:pStyle w:val="Compact"/>
      </w:pPr>
      <w:r>
        <w:t xml:space="preserve">To establish a standardized framework for evaluating Business Consultant quality within the Iranian market.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randomized controlled trial (RCT) design. Participating SMEs will be divided into two groups: a treatment group that receives structured consulting services and a control group that continues with standard operations without external consulting intervention.</w:t>
      </w:r>
    </w:p>
    <w:bookmarkEnd w:id="22"/>
    <w:bookmarkStart w:id="23" w:name="participant-selection"/>
    <w:p>
      <w:pPr>
        <w:pStyle w:val="Heading3"/>
      </w:pPr>
      <w:r>
        <w:t xml:space="preserve">3.2 Participant Selection</w:t>
      </w:r>
    </w:p>
    <w:p>
      <w:pPr>
        <w:pStyle w:val="FirstParagraph"/>
      </w:pPr>
      <w:r>
        <w:t xml:space="preserve">Participants will be selected from various sectors within Iran Tehran, including retail, technology, manufacturing, and services. Inclusion criteria are:</w:t>
      </w:r>
    </w:p>
    <w:p>
      <w:pPr>
        <w:numPr>
          <w:ilvl w:val="0"/>
          <w:numId w:val="1002"/>
        </w:numPr>
        <w:pStyle w:val="Compact"/>
      </w:pPr>
      <w:r>
        <w:t xml:space="preserve">Established for at least two years.</w:t>
      </w:r>
    </w:p>
    <w:p>
      <w:pPr>
        <w:numPr>
          <w:ilvl w:val="0"/>
          <w:numId w:val="1002"/>
        </w:numPr>
        <w:pStyle w:val="Compact"/>
      </w:pPr>
      <w:r>
        <w:t xml:space="preserve">Employing between 10 and 50 staff members.</w:t>
      </w:r>
    </w:p>
    <w:p>
      <w:pPr>
        <w:numPr>
          <w:ilvl w:val="0"/>
          <w:numId w:val="1002"/>
        </w:numPr>
        <w:pStyle w:val="Compact"/>
      </w:pPr>
      <w:r>
        <w:t xml:space="preserve">Willing to provide financial and operational data for the duration of the study.</w:t>
      </w:r>
    </w:p>
    <w:p>
      <w:pPr>
        <w:numPr>
          <w:ilvl w:val="0"/>
          <w:numId w:val="1002"/>
        </w:numPr>
        <w:pStyle w:val="Compact"/>
      </w:pPr>
      <w:r>
        <w:t xml:space="preserve">Located within the metropolitan area of Tehran.</w:t>
      </w:r>
    </w:p>
    <w:bookmarkEnd w:id="23"/>
    <w:bookmarkStart w:id="24" w:name="intervention-protocol"/>
    <w:p>
      <w:pPr>
        <w:pStyle w:val="Heading3"/>
      </w:pPr>
      <w:r>
        <w:t xml:space="preserve">3.3 Intervention Protocol</w:t>
      </w:r>
    </w:p>
    <w:p>
      <w:pPr>
        <w:pStyle w:val="FirstParagraph"/>
      </w:pPr>
      <w:r>
        <w:t xml:space="preserve">The Business Consultant assigned to the treatment group will follow a standardized intervention protocol tailored to the Tehran market. This includes:</w:t>
      </w:r>
    </w:p>
    <w:p>
      <w:pPr>
        <w:numPr>
          <w:ilvl w:val="0"/>
          <w:numId w:val="1003"/>
        </w:numPr>
        <w:pStyle w:val="Compact"/>
      </w:pPr>
      <w:r>
        <w:rPr>
          <w:bCs/>
          <w:b/>
        </w:rPr>
        <w:t xml:space="preserve">Initial Assessment:</w:t>
      </w:r>
      <w:r>
        <w:t xml:space="preserve"> </w:t>
      </w:r>
      <w:r>
        <w:t xml:space="preserve">Comprehensive analysis of business operations, financial health, and market position.</w:t>
      </w:r>
    </w:p>
    <w:p>
      <w:pPr>
        <w:numPr>
          <w:ilvl w:val="0"/>
          <w:numId w:val="1003"/>
        </w:numPr>
        <w:pStyle w:val="Compact"/>
      </w:pPr>
      <w:r>
        <w:rPr>
          <w:bCs/>
          <w:b/>
        </w:rPr>
        <w:t xml:space="preserve">Strategic Planning:</w:t>
      </w:r>
      <w:r>
        <w:t xml:space="preserve"> </w:t>
      </w:r>
      <w:r>
        <w:t xml:space="preserve">Development of a customized strategy addressing local challenges such as inflation, supply chain disruptions, and regulatory compliance.</w:t>
      </w:r>
    </w:p>
    <w:p>
      <w:pPr>
        <w:numPr>
          <w:ilvl w:val="0"/>
          <w:numId w:val="1003"/>
        </w:numPr>
        <w:pStyle w:val="Compact"/>
      </w:pPr>
      <w:r>
        <w:rPr>
          <w:bCs/>
          <w:b/>
        </w:rPr>
        <w:t xml:space="preserve">Implementation Support:</w:t>
      </w:r>
      <w:r>
        <w:t xml:space="preserve"> </w:t>
      </w:r>
      <w:r>
        <w:t xml:space="preserve">Hands-on assistance in executing strategic initiatives.</w:t>
      </w:r>
    </w:p>
    <w:p>
      <w:pPr>
        <w:numPr>
          <w:ilvl w:val="0"/>
          <w:numId w:val="1003"/>
        </w:numPr>
        <w:pStyle w:val="Compact"/>
      </w:pPr>
      <w:r>
        <w:rPr>
          <w:bCs/>
          <w:b/>
        </w:rPr>
        <w:t xml:space="preserve">Monitoring and Adjustment:</w:t>
      </w:r>
      <w:r>
        <w:t xml:space="preserve"> </w:t>
      </w:r>
      <w:r>
        <w:t xml:space="preserve">Regular reviews to adjust strategies based on real-time market conditions in Iran Tehran.</w:t>
      </w:r>
    </w:p>
    <w:bookmarkEnd w:id="24"/>
    <w:bookmarkEnd w:id="25"/>
    <w:bookmarkStart w:id="26" w:name="data-collection-and-metrics"/>
    <w:p>
      <w:pPr>
        <w:pStyle w:val="Heading2"/>
      </w:pPr>
      <w:r>
        <w:t xml:space="preserve">4. Data Collection and Metrics</w:t>
      </w:r>
    </w:p>
    <w:p>
      <w:pPr>
        <w:pStyle w:val="FirstParagraph"/>
      </w:pPr>
      <w:r>
        <w:t xml:space="preserve">Data will be collected at three intervals: baseline (pre-intervention), mid-point (three months), and endpoint (six months).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Relevance to Iran Tehran</w:t>
            </w:r>
          </w:p>
        </w:tc>
      </w:tr>
      <w:tr>
        <w:tc>
          <w:tcPr/>
          <w:p>
            <w:pPr>
              <w:pStyle w:val="Compact"/>
              <w:jc w:val="left"/>
            </w:pPr>
            <w:r>
              <w:t xml:space="preserve">Revenue Growth</w:t>
            </w:r>
          </w:p>
        </w:tc>
        <w:tc>
          <w:tcPr/>
          <w:p>
            <w:pPr>
              <w:pStyle w:val="Compact"/>
              <w:jc w:val="left"/>
            </w:pPr>
            <w:r>
              <w:t xml:space="preserve">Percentage change in monthly revenue.</w:t>
            </w:r>
          </w:p>
        </w:tc>
        <w:tc>
          <w:tcPr/>
          <w:p>
            <w:pPr>
              <w:pStyle w:val="Compact"/>
              <w:jc w:val="left"/>
            </w:pPr>
            <w:r>
              <w:t xml:space="preserve">Indicates ability to navigate economic volatility.</w:t>
            </w:r>
          </w:p>
        </w:tc>
      </w:tr>
      <w:tr>
        <w:tc>
          <w:tcPr/>
          <w:p>
            <w:pPr>
              <w:pStyle w:val="Compact"/>
              <w:jc w:val="left"/>
            </w:pPr>
            <w:r>
              <w:t xml:space="preserve">Operational Efficiency</w:t>
            </w:r>
          </w:p>
        </w:tc>
        <w:tc>
          <w:tcPr/>
          <w:p>
            <w:pPr>
              <w:pStyle w:val="Compact"/>
              <w:jc w:val="left"/>
            </w:pPr>
            <w:r>
              <w:t xml:space="preserve">Reduction in operational costs and waste.</w:t>
            </w:r>
          </w:p>
        </w:tc>
        <w:tc>
          <w:tcPr/>
          <w:p>
            <w:pPr>
              <w:pStyle w:val="Compact"/>
              <w:jc w:val="left"/>
            </w:pPr>
            <w:r>
              <w:t xml:space="preserve">Crucial for maintaining profitability amid inflation.</w:t>
            </w:r>
          </w:p>
        </w:tc>
      </w:tr>
      <w:tr>
        <w:tc>
          <w:tcPr/>
          <w:p>
            <w:pPr>
              <w:pStyle w:val="Compact"/>
              <w:jc w:val="left"/>
            </w:pPr>
            <w:r>
              <w:t xml:space="preserve">Regulatory Compliance</w:t>
            </w:r>
          </w:p>
        </w:tc>
        <w:tc>
          <w:tcPr/>
          <w:p>
            <w:pPr>
              <w:pStyle w:val="Compact"/>
              <w:jc w:val="left"/>
            </w:pPr>
            <w:r>
              <w:t xml:space="preserve">Number of compliance issues or penalties.</w:t>
            </w:r>
          </w:p>
        </w:tc>
        <w:tc>
          <w:tcPr/>
          <w:p>
            <w:pPr>
              <w:pStyle w:val="Compact"/>
              <w:jc w:val="left"/>
            </w:pPr>
            <w:r>
              <w:t xml:space="preserve">Reflects consultant's understanding of local laws.</w:t>
            </w:r>
          </w:p>
        </w:tc>
      </w:tr>
      <w:tr>
        <w:tc>
          <w:tcPr/>
          <w:p>
            <w:pPr>
              <w:pStyle w:val="Compact"/>
              <w:jc w:val="left"/>
            </w:pPr>
            <w:r>
              <w:t xml:space="preserve">Employee Satisfaction</w:t>
            </w:r>
          </w:p>
        </w:tc>
        <w:tc>
          <w:tcPr/>
          <w:p>
            <w:pPr>
              <w:pStyle w:val="Compact"/>
              <w:jc w:val="left"/>
            </w:pPr>
            <w:r>
              <w:t xml:space="preserve">Survey-based assessment of staff morale.</w:t>
            </w:r>
          </w:p>
        </w:tc>
        <w:tc>
          <w:tcPr/>
          <w:p>
            <w:pPr>
              <w:pStyle w:val="Compact"/>
              <w:jc w:val="left"/>
            </w:pPr>
            <w:r>
              <w:t xml:space="preserve">Important for retention in a competitive labor market.</w:t>
            </w:r>
          </w:p>
        </w:tc>
      </w:tr>
    </w:tbl>
    <w:bookmarkEnd w:id="26"/>
    <w:bookmarkStart w:id="27" w:name="ethical-considerations"/>
    <w:p>
      <w:pPr>
        <w:pStyle w:val="Heading2"/>
      </w:pPr>
      <w:r>
        <w:t xml:space="preserve">5. Ethical Considerations</w:t>
      </w:r>
    </w:p>
    <w:p>
      <w:pPr>
        <w:pStyle w:val="FirstParagraph"/>
      </w:pPr>
      <w:r>
        <w:t xml:space="preserve">This experiment adheres to ethical standards for business research. All participants will provide informed consent, and data confidentiality will be strictly maintained. The protocol respects local cultural norms and legal requirements in Iran Tehran. Participants may withdraw from the study at any time without penalty.</w:t>
      </w:r>
    </w:p>
    <w:bookmarkEnd w:id="27"/>
    <w:bookmarkStart w:id="28" w:name="risk-management"/>
    <w:p>
      <w:pPr>
        <w:pStyle w:val="Heading2"/>
      </w:pPr>
      <w:r>
        <w:t xml:space="preserve">6. Risk Management</w:t>
      </w:r>
    </w:p>
    <w:p>
      <w:pPr>
        <w:pStyle w:val="FirstParagraph"/>
      </w:pPr>
      <w:r>
        <w:t xml:space="preserve">Potential risks include economic instability, regulatory changes, and data security concerns. Mitigation strategies include:</w:t>
      </w:r>
    </w:p>
    <w:p>
      <w:pPr>
        <w:numPr>
          <w:ilvl w:val="0"/>
          <w:numId w:val="1004"/>
        </w:numPr>
        <w:pStyle w:val="Compact"/>
      </w:pPr>
      <w:r>
        <w:t xml:space="preserve">Regular monitoring of economic and regulatory developments in Iran Tehran.</w:t>
      </w:r>
    </w:p>
    <w:p>
      <w:pPr>
        <w:numPr>
          <w:ilvl w:val="0"/>
          <w:numId w:val="1004"/>
        </w:numPr>
        <w:pStyle w:val="Compact"/>
      </w:pPr>
      <w:r>
        <w:t xml:space="preserve">Use of encrypted data storage and secure communication channels.</w:t>
      </w:r>
    </w:p>
    <w:p>
      <w:pPr>
        <w:numPr>
          <w:ilvl w:val="0"/>
          <w:numId w:val="1004"/>
        </w:numPr>
        <w:pStyle w:val="Compact"/>
      </w:pPr>
      <w:r>
        <w:t xml:space="preserve">Flexibility in adjusting the experiment timeline or scope as needed.</w:t>
      </w:r>
    </w:p>
    <w:bookmarkEnd w:id="28"/>
    <w:bookmarkStart w:id="29" w:name="timeline"/>
    <w:p>
      <w:pPr>
        <w:pStyle w:val="Heading2"/>
      </w:pPr>
      <w:r>
        <w:t xml:space="preserve">7. Timeline</w:t>
      </w:r>
    </w:p>
    <w:p>
      <w:pPr>
        <w:pStyle w:val="FirstParagraph"/>
      </w:pPr>
      <w:r>
        <w:t xml:space="preserve">The experiment will span six months, with the following phases:</w:t>
      </w:r>
    </w:p>
    <w:p>
      <w:pPr>
        <w:numPr>
          <w:ilvl w:val="0"/>
          <w:numId w:val="1005"/>
        </w:numPr>
        <w:pStyle w:val="Compact"/>
      </w:pPr>
      <w:r>
        <w:rPr>
          <w:bCs/>
          <w:b/>
        </w:rPr>
        <w:t xml:space="preserve">Month 1:</w:t>
      </w:r>
      <w:r>
        <w:t xml:space="preserve"> </w:t>
      </w:r>
      <w:r>
        <w:t xml:space="preserve">Participant recruitment and baseline data collection.</w:t>
      </w:r>
    </w:p>
    <w:p>
      <w:pPr>
        <w:numPr>
          <w:ilvl w:val="0"/>
          <w:numId w:val="1005"/>
        </w:numPr>
        <w:pStyle w:val="Compact"/>
      </w:pPr>
      <w:r>
        <w:rPr>
          <w:bCs/>
          <w:b/>
        </w:rPr>
        <w:t xml:space="preserve">Months 2-5:</w:t>
      </w:r>
      <w:r>
        <w:t xml:space="preserve"> </w:t>
      </w:r>
      <w:r>
        <w:t xml:space="preserve">Implementation of consulting interventions and mid-point data collection.</w:t>
      </w:r>
    </w:p>
    <w:p>
      <w:pPr>
        <w:numPr>
          <w:ilvl w:val="0"/>
          <w:numId w:val="1005"/>
        </w:numPr>
        <w:pStyle w:val="Compact"/>
      </w:pPr>
      <w:r>
        <w:rPr>
          <w:bCs/>
          <w:b/>
        </w:rPr>
        <w:t xml:space="preserve">Month 6:</w:t>
      </w:r>
      <w:r>
        <w:t xml:space="preserve"> </w:t>
      </w:r>
      <w:r>
        <w:t xml:space="preserve">Endpoint data collection and analysis.</w:t>
      </w:r>
    </w:p>
    <w:bookmarkEnd w:id="29"/>
    <w:bookmarkStart w:id="30" w:name="expected-outcomes"/>
    <w:p>
      <w:pPr>
        <w:pStyle w:val="Heading2"/>
      </w:pPr>
      <w:r>
        <w:t xml:space="preserve">8. Expected Outcomes</w:t>
      </w:r>
    </w:p>
    <w:p>
      <w:pPr>
        <w:pStyle w:val="FirstParagraph"/>
      </w:pPr>
      <w:r>
        <w:t xml:space="preserve">This experiment aims to produce actionable insights into the value of Business Consultant services in Iran Tehran. Expected outcomes include:</w:t>
      </w:r>
    </w:p>
    <w:p>
      <w:pPr>
        <w:numPr>
          <w:ilvl w:val="0"/>
          <w:numId w:val="1006"/>
        </w:numPr>
        <w:pStyle w:val="Compact"/>
      </w:pPr>
      <w:r>
        <w:t xml:space="preserve">Empirical evidence of the impact of consulting on SME performance.</w:t>
      </w:r>
    </w:p>
    <w:p>
      <w:pPr>
        <w:numPr>
          <w:ilvl w:val="0"/>
          <w:numId w:val="1006"/>
        </w:numPr>
        <w:pStyle w:val="Compact"/>
      </w:pPr>
      <w:r>
        <w:t xml:space="preserve">Identification of best practices for consultants operating in the Tehran market.</w:t>
      </w:r>
    </w:p>
    <w:p>
      <w:pPr>
        <w:numPr>
          <w:ilvl w:val="0"/>
          <w:numId w:val="1006"/>
        </w:numPr>
        <w:pStyle w:val="Compact"/>
      </w:pPr>
      <w:r>
        <w:t xml:space="preserve">Recommendations for policymakers and business leaders on optimizing consulting engagements.</w:t>
      </w:r>
    </w:p>
    <w:bookmarkEnd w:id="30"/>
    <w:bookmarkStart w:id="31" w:name="conclusion"/>
    <w:p>
      <w:pPr>
        <w:pStyle w:val="Heading2"/>
      </w:pPr>
      <w:r>
        <w:t xml:space="preserve">9. Conclusion</w:t>
      </w:r>
    </w:p>
    <w:p>
      <w:pPr>
        <w:pStyle w:val="FirstParagraph"/>
      </w:pPr>
      <w:r>
        <w:t xml:space="preserve">This Experiment Protocol provides a rigorous framework for evaluating the role of the Business Consultant in the unique economic environment of Iran Tehran. By systematically measuring outcomes and adapting to local conditions, this study will contribute valuable knowledge to both academic and practical domains. The findings will support more informed decision-making for businesses seeking consulting services and for consultants aiming to enhance their effectiveness in this dynamic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Iran Tehran</dc:title>
  <dc:creator/>
  <dc:language>en</dc:language>
  <cp:keywords/>
  <dcterms:created xsi:type="dcterms:W3CDTF">2026-10-10T09:22:35Z</dcterms:created>
  <dcterms:modified xsi:type="dcterms:W3CDTF">2026-10-10T09:22:35Z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