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Iraq</w:t>
      </w:r>
      <w:r>
        <w:t xml:space="preserve"> </w:t>
      </w:r>
      <w:r>
        <w:t xml:space="preserve">Baghdad</w:t>
      </w:r>
    </w:p>
    <w:bookmarkStart w:id="31" w:name="X962a6fd0533c1ef62e519c27a324396df43a6bd"/>
    <w:p>
      <w:pPr>
        <w:pStyle w:val="Heading1"/>
      </w:pPr>
      <w:r>
        <w:t xml:space="preserve">Experiment Protocol: Business Consultant Efficacy in Iraq Baghdad</w:t>
      </w:r>
    </w:p>
    <w:bookmarkStart w:id="20" w:name="introduction-and-background"/>
    <w:p>
      <w:pPr>
        <w:pStyle w:val="Heading2"/>
      </w:pPr>
      <w:r>
        <w:t xml:space="preserve">1. Introduction and Background</w:t>
      </w:r>
    </w:p>
    <w:p>
      <w:pPr>
        <w:pStyle w:val="FirstParagraph"/>
      </w:pPr>
      <w:r>
        <w:t xml:space="preserve">The economic landscape of Iraq Baghdad is undergoing significant transformation, characterized by post-conflict reconstruction, digital modernization, and a growing private sector. However, many small and medium-sized enterprises (SMEs) in Baghdad face challenges related to operational inefficiency, regulatory compliance, and market adaptation. The role of the Business Consultant has become increasingly critical in navigating these complexities.</w:t>
      </w:r>
    </w:p>
    <w:p>
      <w:pPr>
        <w:pStyle w:val="BodyText"/>
      </w:pPr>
      <w:r>
        <w:t xml:space="preserve">This Experiment Protocol outlines a structured research methodology to evaluate the impact of professional Business Consultant interventions on SME performance within Iraq Baghdad. The study aims to determine whether targeted consulting services lead to measurable improvements in revenue, operational efficiency, and employee satisfaction compared to businesses operating without such guidance.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quantitative impact of Business Consultant services on the financial performance of SMEs in Iraq Baghdad.</w:t>
      </w:r>
    </w:p>
    <w:p>
      <w:pPr>
        <w:numPr>
          <w:ilvl w:val="0"/>
          <w:numId w:val="1001"/>
        </w:numPr>
        <w:pStyle w:val="Compact"/>
      </w:pPr>
      <w:r>
        <w:t xml:space="preserve">To evaluate the qualitative improvements in organizational structure and decision-making processes.</w:t>
      </w:r>
    </w:p>
    <w:p>
      <w:pPr>
        <w:numPr>
          <w:ilvl w:val="0"/>
          <w:numId w:val="1001"/>
        </w:numPr>
        <w:pStyle w:val="Compact"/>
      </w:pPr>
      <w:r>
        <w:t xml:space="preserve">To identify specific consulting methodologies that are most effective within the cultural and regulatory context of Iraq Baghdad.</w:t>
      </w:r>
    </w:p>
    <w:p>
      <w:pPr>
        <w:numPr>
          <w:ilvl w:val="0"/>
          <w:numId w:val="1001"/>
        </w:numPr>
        <w:pStyle w:val="Compact"/>
      </w:pPr>
      <w:r>
        <w:t xml:space="preserve">To provide evidence-based recommendations for local policymakers and business owners regarding the utilization of external expertise.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(RCT) design. Participants will be divided into two groups: the Intervention Group, which will receive structured consulting services from a certified Business Consultant, and the Control Group, which will continue operations without external intervention.</w:t>
      </w:r>
    </w:p>
    <w:bookmarkEnd w:id="22"/>
    <w:bookmarkStart w:id="23" w:name="participants-and-sampling"/>
    <w:p>
      <w:pPr>
        <w:pStyle w:val="Heading3"/>
      </w:pPr>
      <w:r>
        <w:t xml:space="preserve">3.2 Participants and Sampling</w:t>
      </w:r>
    </w:p>
    <w:p>
      <w:pPr>
        <w:pStyle w:val="FirstParagraph"/>
      </w:pPr>
      <w:r>
        <w:t xml:space="preserve">The target population consists of SMEs located in central and commercial districts of Iraq Baghdad, specifically in sectors such as retail, technology, and light manufacturing. A total of 60 companies will be selected using stratified random sampling to ensure representation across different industry verticals.</w:t>
      </w:r>
    </w:p>
    <w:p>
      <w:pPr>
        <w:numPr>
          <w:ilvl w:val="0"/>
          <w:numId w:val="1002"/>
        </w:numPr>
        <w:pStyle w:val="Compact"/>
      </w:pPr>
      <w:r>
        <w:rPr>
          <w:bCs/>
          <w:b/>
        </w:rPr>
        <w:t xml:space="preserve">Inclusion Criteria:</w:t>
      </w:r>
      <w:r>
        <w:t xml:space="preserve"> </w:t>
      </w:r>
      <w:r>
        <w:t xml:space="preserve">Companies must have been operational for at least two years, employ between 10 and 50 staff, and have annual revenues between $50,000 and $500,000.</w:t>
      </w:r>
    </w:p>
    <w:p>
      <w:pPr>
        <w:numPr>
          <w:ilvl w:val="0"/>
          <w:numId w:val="1002"/>
        </w:numPr>
        <w:pStyle w:val="Compact"/>
      </w:pPr>
      <w:r>
        <w:rPr>
          <w:bCs/>
          <w:b/>
        </w:rPr>
        <w:t xml:space="preserve">Exclusion Criteria:</w:t>
      </w:r>
      <w:r>
        <w:t xml:space="preserve"> </w:t>
      </w:r>
      <w:r>
        <w:t xml:space="preserve">Companies currently engaged with another consulting firm or those facing imminent legal dissolution.</w:t>
      </w:r>
    </w:p>
    <w:bookmarkEnd w:id="23"/>
    <w:bookmarkStart w:id="24" w:name="intervention-protocol"/>
    <w:p>
      <w:pPr>
        <w:pStyle w:val="Heading3"/>
      </w:pPr>
      <w:r>
        <w:t xml:space="preserve">3.3 Intervention Protocol</w:t>
      </w:r>
    </w:p>
    <w:p>
      <w:pPr>
        <w:pStyle w:val="FirstParagraph"/>
      </w:pPr>
      <w:r>
        <w:t xml:space="preserve">The Intervention Group will engage with a Business Consultant for a period of six months. The consulting engagement will follow a standardized framework tailored to the Iraq Baghdad market:</w:t>
      </w:r>
    </w:p>
    <w:p>
      <w:pPr>
        <w:numPr>
          <w:ilvl w:val="0"/>
          <w:numId w:val="1003"/>
        </w:numPr>
        <w:pStyle w:val="Compact"/>
      </w:pPr>
      <w:r>
        <w:rPr>
          <w:bCs/>
          <w:b/>
        </w:rPr>
        <w:t xml:space="preserve">Phase 1 (Weeks 1-4): Diagnostic Assessment.</w:t>
      </w:r>
      <w:r>
        <w:t xml:space="preserve"> </w:t>
      </w:r>
      <w:r>
        <w:t xml:space="preserve">Comprehensive analysis of current operations, financial health, and market positioning.</w:t>
      </w:r>
    </w:p>
    <w:p>
      <w:pPr>
        <w:numPr>
          <w:ilvl w:val="0"/>
          <w:numId w:val="1003"/>
        </w:numPr>
        <w:pStyle w:val="Compact"/>
      </w:pPr>
      <w:r>
        <w:rPr>
          <w:bCs/>
          <w:b/>
        </w:rPr>
        <w:t xml:space="preserve">Phase 2 (Weeks 5-12): Strategic Planning.</w:t>
      </w:r>
      <w:r>
        <w:t xml:space="preserve"> </w:t>
      </w:r>
      <w:r>
        <w:t xml:space="preserve">Development of actionable strategies focusing on cost reduction, digital adoption, and regulatory compliance specific to Iraqi law.</w:t>
      </w:r>
    </w:p>
    <w:p>
      <w:pPr>
        <w:numPr>
          <w:ilvl w:val="0"/>
          <w:numId w:val="1003"/>
        </w:numPr>
        <w:pStyle w:val="Compact"/>
      </w:pPr>
      <w:r>
        <w:rPr>
          <w:bCs/>
          <w:b/>
        </w:rPr>
        <w:t xml:space="preserve">Phase 3 (Weeks 13-24): Implementation and Training.</w:t>
      </w:r>
      <w:r>
        <w:t xml:space="preserve"> </w:t>
      </w:r>
      <w:r>
        <w:t xml:space="preserve">Hands-on support in executing strategies, including staff training and process optimization.</w:t>
      </w:r>
    </w:p>
    <w:bookmarkEnd w:id="24"/>
    <w:bookmarkEnd w:id="25"/>
    <w:bookmarkStart w:id="26" w:name="data-collection-and-metrics"/>
    <w:p>
      <w:pPr>
        <w:pStyle w:val="Heading2"/>
      </w:pPr>
      <w:r>
        <w:t xml:space="preserve">4. Data Collection and Metrics</w:t>
      </w:r>
    </w:p>
    <w:p>
      <w:pPr>
        <w:pStyle w:val="FirstParagraph"/>
      </w:pPr>
      <w:r>
        <w:t xml:space="preserve">Data will be collected at three intervals: Baseline (T0), Mid-Experiment (T1), and Post-Experiment (T2). The following key performance indicators (KPIs) will be measured: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w:t>
            </w:r>
          </w:p>
        </w:tc>
        <w:tc>
          <w:tcPr/>
          <w:p>
            <w:pPr>
              <w:pStyle w:val="Compact"/>
              <w:jc w:val="left"/>
            </w:pPr>
            <w:r>
              <w:t xml:space="preserve">Measurement Tool</w:t>
            </w:r>
          </w:p>
        </w:tc>
      </w:tr>
      <w:tr>
        <w:tc>
          <w:tcPr/>
          <w:p>
            <w:pPr>
              <w:pStyle w:val="Compact"/>
              <w:jc w:val="left"/>
            </w:pPr>
            <w:r>
              <w:t xml:space="preserve">Financial Performance</w:t>
            </w:r>
          </w:p>
        </w:tc>
        <w:tc>
          <w:tcPr/>
          <w:p>
            <w:pPr>
              <w:pStyle w:val="Compact"/>
              <w:jc w:val="left"/>
            </w:pPr>
            <w:r>
              <w:t xml:space="preserve">Net Profit Margin</w:t>
            </w:r>
          </w:p>
        </w:tc>
        <w:tc>
          <w:tcPr/>
          <w:p>
            <w:pPr>
              <w:pStyle w:val="Compact"/>
              <w:jc w:val="left"/>
            </w:pPr>
            <w:r>
              <w:t xml:space="preserve">Financial Statements</w:t>
            </w:r>
          </w:p>
        </w:tc>
      </w:tr>
      <w:tr>
        <w:tc>
          <w:tcPr/>
          <w:p>
            <w:pPr>
              <w:pStyle w:val="Compact"/>
              <w:jc w:val="left"/>
            </w:pPr>
            <w:r>
              <w:t xml:space="preserve">Financial Performance</w:t>
            </w:r>
          </w:p>
        </w:tc>
        <w:tc>
          <w:tcPr/>
          <w:p>
            <w:pPr>
              <w:pStyle w:val="Compact"/>
              <w:jc w:val="left"/>
            </w:pPr>
            <w:r>
              <w:t xml:space="preserve">Revenue Growth Rate</w:t>
            </w:r>
          </w:p>
        </w:tc>
        <w:tc>
          <w:tcPr/>
          <w:p>
            <w:pPr>
              <w:pStyle w:val="Compact"/>
              <w:jc w:val="left"/>
            </w:pPr>
            <w:r>
              <w:t xml:space="preserve">Sales Records</w:t>
            </w:r>
          </w:p>
        </w:tc>
      </w:tr>
      <w:tr>
        <w:tc>
          <w:tcPr/>
          <w:p>
            <w:pPr>
              <w:pStyle w:val="Compact"/>
              <w:jc w:val="left"/>
            </w:pPr>
            <w:r>
              <w:t xml:space="preserve">Operational Efficiency</w:t>
            </w:r>
          </w:p>
        </w:tc>
        <w:tc>
          <w:tcPr/>
          <w:p>
            <w:pPr>
              <w:pStyle w:val="Compact"/>
              <w:jc w:val="left"/>
            </w:pPr>
            <w:r>
              <w:t xml:space="preserve">Process Cycle Time</w:t>
            </w:r>
          </w:p>
        </w:tc>
        <w:tc>
          <w:tcPr/>
          <w:p>
            <w:pPr>
              <w:pStyle w:val="Compact"/>
              <w:jc w:val="left"/>
            </w:pPr>
            <w:r>
              <w:t xml:space="preserve">Operational Logs</w:t>
            </w:r>
          </w:p>
        </w:tc>
      </w:tr>
      <w:tr>
        <w:tc>
          <w:tcPr/>
          <w:p>
            <w:pPr>
              <w:pStyle w:val="Compact"/>
              <w:jc w:val="left"/>
            </w:pPr>
            <w:r>
              <w:t xml:space="preserve">Human Resources</w:t>
            </w:r>
          </w:p>
        </w:tc>
        <w:tc>
          <w:tcPr/>
          <w:p>
            <w:pPr>
              <w:pStyle w:val="Compact"/>
              <w:jc w:val="left"/>
            </w:pPr>
            <w:r>
              <w:t xml:space="preserve">Employee Turnover Rate</w:t>
            </w:r>
          </w:p>
        </w:tc>
        <w:tc>
          <w:tcPr/>
          <w:p>
            <w:pPr>
              <w:pStyle w:val="Compact"/>
              <w:jc w:val="left"/>
            </w:pPr>
            <w:r>
              <w:t xml:space="preserve">HR Records</w:t>
            </w:r>
          </w:p>
        </w:tc>
      </w:tr>
      <w:tr>
        <w:tc>
          <w:tcPr/>
          <w:p>
            <w:pPr>
              <w:pStyle w:val="Compact"/>
              <w:jc w:val="left"/>
            </w:pPr>
            <w:r>
              <w:t xml:space="preserve">Human Resources</w:t>
            </w:r>
          </w:p>
        </w:tc>
        <w:tc>
          <w:tcPr/>
          <w:p>
            <w:pPr>
              <w:pStyle w:val="Compact"/>
              <w:jc w:val="left"/>
            </w:pPr>
            <w:r>
              <w:t xml:space="preserve">Staff Satisfaction Score</w:t>
            </w:r>
          </w:p>
        </w:tc>
        <w:tc>
          <w:tcPr/>
          <w:p>
            <w:pPr>
              <w:pStyle w:val="Compact"/>
              <w:jc w:val="left"/>
            </w:pPr>
            <w:r>
              <w:t xml:space="preserve">Anonymous Surveys</w:t>
            </w:r>
          </w:p>
        </w:tc>
      </w:tr>
    </w:tbl>
    <w:bookmarkEnd w:id="26"/>
    <w:bookmarkStart w:id="27" w:name="ethical-considerations"/>
    <w:p>
      <w:pPr>
        <w:pStyle w:val="Heading2"/>
      </w:pPr>
      <w:r>
        <w:t xml:space="preserve">5. Ethical Considerations</w:t>
      </w:r>
    </w:p>
    <w:p>
      <w:pPr>
        <w:pStyle w:val="FirstParagraph"/>
      </w:pPr>
      <w:r>
        <w:t xml:space="preserve">This experiment adheres to strict ethical guidelines. All participating companies in Iraq Baghdad will provide informed consent, fully understanding the nature of the study and the data collection process. Confidentiality of business data will be maintained through encrypted storage and anonymized reporting. The Business Consultant will act impartially, avoiding conflicts of interest with any participating entity.</w:t>
      </w:r>
    </w:p>
    <w:bookmarkEnd w:id="27"/>
    <w:bookmarkStart w:id="28" w:name="risk-management"/>
    <w:p>
      <w:pPr>
        <w:pStyle w:val="Heading2"/>
      </w:pPr>
      <w:r>
        <w:t xml:space="preserve">6. Risk Management</w:t>
      </w:r>
    </w:p>
    <w:p>
      <w:pPr>
        <w:pStyle w:val="FirstParagraph"/>
      </w:pPr>
      <w:r>
        <w:t xml:space="preserve">Potential risks include data inaccuracy, participant dropout, and external economic fluctuations affecting Iraq Baghdad. To mitigate these risks, data validation checks will be performed regularly, and statistical controls will be applied to account for macroeconomic variables.</w:t>
      </w:r>
    </w:p>
    <w:bookmarkEnd w:id="28"/>
    <w:bookmarkStart w:id="29" w:name="timeline"/>
    <w:p>
      <w:pPr>
        <w:pStyle w:val="Heading2"/>
      </w:pPr>
      <w:r>
        <w:t xml:space="preserve">7. Timeline</w:t>
      </w:r>
    </w:p>
    <w:p>
      <w:pPr>
        <w:numPr>
          <w:ilvl w:val="0"/>
          <w:numId w:val="1004"/>
        </w:numPr>
        <w:pStyle w:val="Compact"/>
      </w:pPr>
      <w:r>
        <w:rPr>
          <w:bCs/>
          <w:b/>
        </w:rPr>
        <w:t xml:space="preserve">Month 1:</w:t>
      </w:r>
      <w:r>
        <w:t xml:space="preserve"> </w:t>
      </w:r>
      <w:r>
        <w:t xml:space="preserve">Recruitment and Baseline Data Collection.</w:t>
      </w:r>
    </w:p>
    <w:p>
      <w:pPr>
        <w:numPr>
          <w:ilvl w:val="0"/>
          <w:numId w:val="1004"/>
        </w:numPr>
        <w:pStyle w:val="Compact"/>
      </w:pPr>
      <w:r>
        <w:rPr>
          <w:bCs/>
          <w:b/>
        </w:rPr>
        <w:t xml:space="preserve">Months 2-7:</w:t>
      </w:r>
      <w:r>
        <w:t xml:space="preserve"> </w:t>
      </w:r>
      <w:r>
        <w:t xml:space="preserve">Consulting Intervention and Mid-Point Assessment.</w:t>
      </w:r>
    </w:p>
    <w:p>
      <w:pPr>
        <w:numPr>
          <w:ilvl w:val="0"/>
          <w:numId w:val="1004"/>
        </w:numPr>
        <w:pStyle w:val="Compact"/>
      </w:pPr>
      <w:r>
        <w:rPr>
          <w:bCs/>
          <w:b/>
        </w:rPr>
        <w:t xml:space="preserve">Month 8:</w:t>
      </w:r>
      <w:r>
        <w:t xml:space="preserve"> </w:t>
      </w:r>
      <w:r>
        <w:t xml:space="preserve">Final Data Collection and Analysis.</w:t>
      </w:r>
    </w:p>
    <w:p>
      <w:pPr>
        <w:numPr>
          <w:ilvl w:val="0"/>
          <w:numId w:val="1004"/>
        </w:numPr>
        <w:pStyle w:val="Compact"/>
      </w:pPr>
      <w:r>
        <w:rPr>
          <w:bCs/>
          <w:b/>
        </w:rPr>
        <w:t xml:space="preserve">Month 9:</w:t>
      </w:r>
      <w:r>
        <w:t xml:space="preserve"> </w:t>
      </w:r>
      <w:r>
        <w:t xml:space="preserve">Reporting and Dissemination of Findings.</w:t>
      </w:r>
    </w:p>
    <w:bookmarkEnd w:id="29"/>
    <w:bookmarkStart w:id="30" w:name="conclusion"/>
    <w:p>
      <w:pPr>
        <w:pStyle w:val="Heading2"/>
      </w:pPr>
      <w:r>
        <w:t xml:space="preserve">8. Conclusion</w:t>
      </w:r>
    </w:p>
    <w:p>
      <w:pPr>
        <w:pStyle w:val="FirstParagraph"/>
      </w:pPr>
      <w:r>
        <w:t xml:space="preserve">This Experiment Protocol provides a rigorous framework for evaluating the value proposition of the Business Consultant in the dynamic environment of Iraq Baghdad. By systematically measuring outcomes, this study will contribute valuable insights to the local business community, fostering a more resilient and efficient economic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Iraq Baghdad</dc:title>
  <dc:creator/>
  <dc:language>en</dc:language>
  <cp:keywords/>
  <dcterms:created xsi:type="dcterms:W3CDTF">2026-10-10T09:53:10Z</dcterms:created>
  <dcterms:modified xsi:type="dcterms:W3CDTF">2026-10-10T09:53:10Z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