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Efficacy</w:t>
      </w:r>
      <w:r>
        <w:t xml:space="preserve"> </w:t>
      </w:r>
      <w:r>
        <w:t xml:space="preserve">in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X135cc8d0b630ac72ea765fb63ad7d2b14961942"/>
    <w:p>
      <w:pPr>
        <w:pStyle w:val="Heading1"/>
      </w:pPr>
      <w:r>
        <w:t xml:space="preserve">Experiment Protocol: Strategic Impact of Business Consultants on SME Growth in Israel Tel Aviv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TA-BC-2024-001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Aviv-Yafo, Israel</w:t>
      </w:r>
    </w:p>
    <w:p>
      <w:pPr>
        <w:pStyle w:val="BodyText"/>
      </w:pPr>
      <w:r>
        <w:rPr>
          <w:bCs/>
          <w:b/>
        </w:rPr>
        <w:t xml:space="preserve">Principal Investigator:</w:t>
      </w:r>
      <w:r>
        <w:t xml:space="preserve"> </w:t>
      </w:r>
      <w:r>
        <w:t xml:space="preserve">[Name Redacted]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Tel Aviv, often referred to as the "Startup Nation's" capital, represents a unique economic ecosystem characterized by high innovation, rapid scaling, and intense competition. Within this dynamic environment, the role of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is pivotal. However, the specific efficacy of external consulting interventions on Small and Medium-sized Enterprises (SMEs) in this specific geographic and cultural context remains under-researched.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outlines a rigorous methodology to evaluate the tangible impact of structured business consulting engagements on operational efficiency and revenue growth for technology-focused SMEs located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The study aims to move beyond anecdotal evidence to provide data-driven insights into how consulting frameworks adapt to the fast-paced, risk-tolerant culture of the Israeli market.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 of this experiment is to quantify the value added by a certified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over a six-month period. Specific goals include:</w:t>
      </w:r>
    </w:p>
    <w:p>
      <w:pPr>
        <w:numPr>
          <w:ilvl w:val="0"/>
          <w:numId w:val="1001"/>
        </w:numPr>
        <w:pStyle w:val="Compact"/>
      </w:pPr>
      <w:r>
        <w:t xml:space="preserve">To measure the change in Key Performance Indicators (KPIs) such as EBITDA, customer acquisition cost (CAC), and operational turnaround time.</w:t>
      </w:r>
    </w:p>
    <w:p>
      <w:pPr>
        <w:numPr>
          <w:ilvl w:val="0"/>
          <w:numId w:val="1001"/>
        </w:numPr>
        <w:pStyle w:val="Compact"/>
      </w:pPr>
      <w:r>
        <w:t xml:space="preserve">To assess the cultural fit and adoption rate of consulting recommendations within the unique work environment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determine if the "Dugri" (direct) communication style prevalent in Tel Aviv enhances or hinders the consulting process.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utilizes a randomized controlled trial (RCT) design. Participants will be divided into two groups: the Intervention Group (receiving consulting services) and the Control Group (operating as usual).</w:t>
      </w:r>
    </w:p>
    <w:bookmarkEnd w:id="23"/>
    <w:bookmarkStart w:id="24" w:name="participant-selection"/>
    <w:p>
      <w:pPr>
        <w:pStyle w:val="Heading3"/>
      </w:pPr>
      <w:r>
        <w:t xml:space="preserve">3.2 Participant Selection</w:t>
      </w:r>
    </w:p>
    <w:p>
      <w:pPr>
        <w:pStyle w:val="FirstParagraph"/>
      </w:pPr>
      <w:r>
        <w:t xml:space="preserve">Participants will be selected from the greater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metropolitan area, specifically focusing on the "Silicon Wadi" corridor. Inclusion criteria are as follows:</w:t>
      </w:r>
    </w:p>
    <w:p>
      <w:pPr>
        <w:numPr>
          <w:ilvl w:val="0"/>
          <w:numId w:val="1002"/>
        </w:numPr>
        <w:pStyle w:val="Compact"/>
      </w:pPr>
      <w:r>
        <w:t xml:space="preserve">Company must be registered in Tel Aviv.</w:t>
      </w:r>
    </w:p>
    <w:p>
      <w:pPr>
        <w:numPr>
          <w:ilvl w:val="0"/>
          <w:numId w:val="1002"/>
        </w:numPr>
        <w:pStyle w:val="Compact"/>
      </w:pPr>
      <w:r>
        <w:t xml:space="preserve">Company size: 10–50 employees.</w:t>
      </w:r>
    </w:p>
    <w:p>
      <w:pPr>
        <w:numPr>
          <w:ilvl w:val="0"/>
          <w:numId w:val="1002"/>
        </w:numPr>
        <w:pStyle w:val="Compact"/>
      </w:pPr>
      <w:r>
        <w:t xml:space="preserve">Industry: SaaS, Fintech, or Cybersecurity.</w:t>
      </w:r>
    </w:p>
    <w:p>
      <w:pPr>
        <w:numPr>
          <w:ilvl w:val="0"/>
          <w:numId w:val="1002"/>
        </w:numPr>
        <w:pStyle w:val="Compact"/>
      </w:pPr>
      <w:r>
        <w:t xml:space="preserve">Annual revenue between $1M and $10M USD.</w:t>
      </w:r>
    </w:p>
    <w:p>
      <w:pPr>
        <w:numPr>
          <w:ilvl w:val="0"/>
          <w:numId w:val="1002"/>
        </w:numPr>
        <w:pStyle w:val="Compact"/>
      </w:pPr>
      <w:r>
        <w:t xml:space="preserve">No active engagement with a strategic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in the past 12 months.</w:t>
      </w:r>
    </w:p>
    <w:bookmarkEnd w:id="24"/>
    <w:bookmarkStart w:id="25" w:name="the-intervention"/>
    <w:p>
      <w:pPr>
        <w:pStyle w:val="Heading3"/>
      </w:pPr>
      <w:r>
        <w:t xml:space="preserve">3.3 The Intervention</w:t>
      </w:r>
    </w:p>
    <w:p>
      <w:pPr>
        <w:pStyle w:val="FirstParagraph"/>
      </w:pPr>
      <w:r>
        <w:t xml:space="preserve">The Intervention Group will be paired with a senior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specializing in scaling operations. The consultant will implement a standardized framework focusing on:</w:t>
      </w:r>
    </w:p>
    <w:p>
      <w:pPr>
        <w:numPr>
          <w:ilvl w:val="0"/>
          <w:numId w:val="1003"/>
        </w:numPr>
        <w:pStyle w:val="Compact"/>
      </w:pPr>
      <w:r>
        <w:t xml:space="preserve">Process Optimization: Streamlining workflows to reduce redundancy.</w:t>
      </w:r>
    </w:p>
    <w:p>
      <w:pPr>
        <w:numPr>
          <w:ilvl w:val="0"/>
          <w:numId w:val="1003"/>
        </w:numPr>
        <w:pStyle w:val="Compact"/>
      </w:pPr>
      <w:r>
        <w:t xml:space="preserve">Strategic Alignment: Ensuring product-market fit aligns with global expansion goals.</w:t>
      </w:r>
    </w:p>
    <w:p>
      <w:pPr>
        <w:numPr>
          <w:ilvl w:val="0"/>
          <w:numId w:val="1003"/>
        </w:numPr>
        <w:pStyle w:val="Compact"/>
      </w:pPr>
      <w:r>
        <w:t xml:space="preserve">Leadership Development: Coaching executive teams on decision-making under uncertainty.</w:t>
      </w:r>
    </w:p>
    <w:p>
      <w:pPr>
        <w:pStyle w:val="FirstParagraph"/>
      </w:pPr>
      <w:r>
        <w:t xml:space="preserve">The Control Group will receive no external intervention but will be monitored for baseline performance changes.</w:t>
      </w:r>
    </w:p>
    <w:bookmarkEnd w:id="25"/>
    <w:bookmarkEnd w:id="26"/>
    <w:bookmarkStart w:id="27" w:name="data-collection-and-metrics"/>
    <w:p>
      <w:pPr>
        <w:pStyle w:val="Heading2"/>
      </w:pPr>
      <w:r>
        <w:t xml:space="preserve">4. Data Collection and Metrics</w:t>
      </w:r>
    </w:p>
    <w:p>
      <w:pPr>
        <w:pStyle w:val="FirstParagraph"/>
      </w:pPr>
      <w:r>
        <w:t xml:space="preserve">Data will be collected at three intervals: Baseline (Month 0), Mid-Point (Month 3), and Conclusion (Month 6). The following metrics will be tracked: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 Indicator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Measurement Tool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Financial 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Revenue Growth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Financial Statements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Operational Efficiency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Time-to-Market for New Features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Software Logs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Organizational Health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Employee Net Promoter Score (eNPS)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Anonymous Surveys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Consulting Impact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Implementation Rate of Recommendations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Consultant Activity Reports</w:t>
            </w:r>
          </w:p>
        </w:tc>
      </w:tr>
    </w:tbl>
    <w:bookmarkEnd w:id="27"/>
    <w:bookmarkStart w:id="28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adheres to the ethical guidelines set forth by the Israeli Association of Business Consultants. All participating companies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will provide informed consent. Data privacy will be maintained in accordance with the Israeli Privacy Protection Law, 5741-1981. Confidentiality agreements will be signed by all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participants to protect proprietary business information.</w:t>
      </w:r>
    </w:p>
    <w:bookmarkEnd w:id="28"/>
    <w:bookmarkStart w:id="29" w:name="risk-management"/>
    <w:p>
      <w:pPr>
        <w:pStyle w:val="Heading2"/>
      </w:pPr>
      <w:r>
        <w:t xml:space="preserve">6. Risk Management</w:t>
      </w:r>
    </w:p>
    <w:p>
      <w:pPr>
        <w:pStyle w:val="FirstParagraph"/>
      </w:pPr>
      <w:r>
        <w:t xml:space="preserve">Potential risks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Volatility:</w:t>
      </w:r>
      <w:r>
        <w:t xml:space="preserve"> </w:t>
      </w:r>
      <w:r>
        <w:t xml:space="preserve">External economic factors in Israel may skew results. Mitigation involves using the Control Group to normalize for market-wide trends.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Consultant Bias:</w:t>
      </w:r>
      <w:r>
        <w:t xml:space="preserve"> </w:t>
      </w:r>
      <w:r>
        <w:t xml:space="preserve">Variability in consultant quality. Mitigation involves using a single, vetted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or a team trained on a unified methodology.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Attrition:</w:t>
      </w:r>
      <w:r>
        <w:t xml:space="preserve"> </w:t>
      </w:r>
      <w:r>
        <w:t xml:space="preserve">Companies dropping out of the study. Mitigation involves offering a final strategic report to all participants as an incentive for completion.</w:t>
      </w:r>
    </w:p>
    <w:bookmarkEnd w:id="29"/>
    <w:bookmarkStart w:id="30" w:name="timeline"/>
    <w:p>
      <w:pPr>
        <w:pStyle w:val="Heading2"/>
      </w:pPr>
      <w:r>
        <w:t xml:space="preserve">7. Timeline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 1:</w:t>
      </w:r>
      <w:r>
        <w:t xml:space="preserve"> </w:t>
      </w:r>
      <w:r>
        <w:t xml:space="preserve">Recruitment and Baseline Data Collection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2-7:</w:t>
      </w:r>
      <w:r>
        <w:t xml:space="preserve"> </w:t>
      </w:r>
      <w:r>
        <w:t xml:space="preserve">Implementation of Consulting Interventions.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 8:</w:t>
      </w:r>
      <w:r>
        <w:t xml:space="preserve"> </w:t>
      </w:r>
      <w:r>
        <w:t xml:space="preserve">Final Data Collection and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 9:</w:t>
      </w:r>
      <w:r>
        <w:t xml:space="preserve"> </w:t>
      </w:r>
      <w:r>
        <w:t xml:space="preserve">Reporting and Dissemination of Findings.</w:t>
      </w:r>
    </w:p>
    <w:bookmarkEnd w:id="30"/>
    <w:bookmarkStart w:id="31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provides a structured approach to understanding the nuanced relationship between external advisory services and business growth in one of the world's most competitive tech hubs. By focusing on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this study will offer valuable insights into how the role of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must evolve to meet the demands of a hyper-innovative economy. The results will contribute to the broader academic and professional understanding of management consulting efficacy in emerging market leaders.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Business Consultant Efficacy in Tel Aviv</dc:title>
  <dc:creator/>
  <dc:language>en</dc:language>
  <cp:keywords/>
  <dcterms:created xsi:type="dcterms:W3CDTF">2026-10-10T10:21:14Z</dcterms:created>
  <dcterms:modified xsi:type="dcterms:W3CDTF">2026-10-10T10:21:14Z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