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Italy</w:t>
      </w:r>
      <w:r>
        <w:t xml:space="preserve"> </w:t>
      </w:r>
      <w:r>
        <w:t xml:space="preserve">Rome</w:t>
      </w:r>
    </w:p>
    <w:bookmarkStart w:id="31" w:name="X5ecae6eb0245f1a0dd934435f0b043f44c04c6f"/>
    <w:p>
      <w:pPr>
        <w:pStyle w:val="Heading1"/>
      </w:pPr>
      <w:r>
        <w:t xml:space="preserve">Experiment Protocol: Impact of Business Consultant Interventions on SME Growth in Italy Rome</w:t>
      </w:r>
    </w:p>
    <w:bookmarkStart w:id="20" w:name="introduction-and-background"/>
    <w:p>
      <w:pPr>
        <w:pStyle w:val="Heading2"/>
      </w:pPr>
      <w:r>
        <w:t xml:space="preserve">1. Introduction and Background</w:t>
      </w:r>
    </w:p>
    <w:p>
      <w:pPr>
        <w:pStyle w:val="FirstParagraph"/>
      </w:pPr>
      <w:r>
        <w:t xml:space="preserve">The economic landscape of Italy Rome is characterized by a vibrant mix of historical enterprises, modern startups, and a dense network of small and medium-sized enterprises (SMEs). Despite the city's strategic importance as the capital and a hub for tourism, government, and culture, many local businesses face challenges related to digital transformation, regulatory compliance, and international market expansion.</w:t>
      </w:r>
    </w:p>
    <w:p>
      <w:pPr>
        <w:pStyle w:val="BodyText"/>
      </w:pPr>
      <w:r>
        <w:t xml:space="preserve">This Experiment Protocol outlines a structured research initiative designed to evaluate the efficacy of professional Business Consultant interventions within this specific geographic and cultural context. The primary objective is to determine whether targeted consulting engagements lead to measurable improvements in operational efficiency, revenue growth, and employee satisfaction among SMEs located in the metropolitan area of Italy Rome.</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impact of Business Consultant strategies on the net profit margins of participating SMEs in Italy Rome over a six-month period.</w:t>
      </w:r>
    </w:p>
    <w:p>
      <w:pPr>
        <w:numPr>
          <w:ilvl w:val="0"/>
          <w:numId w:val="1001"/>
        </w:numPr>
        <w:pStyle w:val="Compact"/>
      </w:pPr>
      <w:r>
        <w:t xml:space="preserve">To assess the effectiveness of consultants in navigating the complex Italian regulatory environment, specifically regarding tax compliance and labor laws.</w:t>
      </w:r>
    </w:p>
    <w:p>
      <w:pPr>
        <w:numPr>
          <w:ilvl w:val="0"/>
          <w:numId w:val="1001"/>
        </w:numPr>
        <w:pStyle w:val="Compact"/>
      </w:pPr>
      <w:r>
        <w:t xml:space="preserve">To evaluate the adoption rate of digital tools recommended by consultants within the traditional business sectors of Rome.</w:t>
      </w:r>
    </w:p>
    <w:p>
      <w:pPr>
        <w:numPr>
          <w:ilvl w:val="0"/>
          <w:numId w:val="1001"/>
        </w:numPr>
        <w:pStyle w:val="Compact"/>
      </w:pPr>
      <w:r>
        <w:t xml:space="preserve">To analyze the correlation between consultant-client cultural alignment and project success rates.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Participating businesses will be randomly assigned to either an Intervention Group or a Control Group. The Intervention Group will receive structured services from certified Business Consultants, while the Control Group will continue with their standard operational practices without external consulting support during the trial period.</w:t>
      </w:r>
    </w:p>
    <w:bookmarkEnd w:id="22"/>
    <w:bookmarkStart w:id="23" w:name="participants-and-sampling"/>
    <w:p>
      <w:pPr>
        <w:pStyle w:val="Heading3"/>
      </w:pPr>
      <w:r>
        <w:t xml:space="preserve">3.2 Participants and Sampling</w:t>
      </w:r>
    </w:p>
    <w:p>
      <w:pPr>
        <w:pStyle w:val="FirstParagraph"/>
      </w:pPr>
      <w:r>
        <w:t xml:space="preserve">The target population consists of SMEs registered in the Chamber of Commerce of Italy Rome. The sample size will include 100 companies, evenly split between the two groups. Inclusion criteria are:</w:t>
      </w:r>
    </w:p>
    <w:p>
      <w:pPr>
        <w:numPr>
          <w:ilvl w:val="0"/>
          <w:numId w:val="1002"/>
        </w:numPr>
        <w:pStyle w:val="Compact"/>
      </w:pPr>
      <w:r>
        <w:t xml:space="preserve">Headquarters located within the municipal boundaries of Rome.</w:t>
      </w:r>
    </w:p>
    <w:p>
      <w:pPr>
        <w:numPr>
          <w:ilvl w:val="0"/>
          <w:numId w:val="1002"/>
        </w:numPr>
        <w:pStyle w:val="Compact"/>
      </w:pPr>
      <w:r>
        <w:t xml:space="preserve">Employment of between 10 and 250 employees.</w:t>
      </w:r>
    </w:p>
    <w:p>
      <w:pPr>
        <w:numPr>
          <w:ilvl w:val="0"/>
          <w:numId w:val="1002"/>
        </w:numPr>
        <w:pStyle w:val="Compact"/>
      </w:pPr>
      <w:r>
        <w:t xml:space="preserve">Operation in the service, retail, or light manufacturing sectors.</w:t>
      </w:r>
    </w:p>
    <w:p>
      <w:pPr>
        <w:numPr>
          <w:ilvl w:val="0"/>
          <w:numId w:val="1002"/>
        </w:numPr>
        <w:pStyle w:val="Compact"/>
      </w:pPr>
      <w:r>
        <w:t xml:space="preserve">No engagement with external strategic consultants in the preceding 12 months.</w:t>
      </w:r>
    </w:p>
    <w:bookmarkEnd w:id="23"/>
    <w:bookmarkStart w:id="24" w:name="the-intervention"/>
    <w:p>
      <w:pPr>
        <w:pStyle w:val="Heading3"/>
      </w:pPr>
      <w:r>
        <w:t xml:space="preserve">3.3 The Intervention</w:t>
      </w:r>
    </w:p>
    <w:p>
      <w:pPr>
        <w:pStyle w:val="FirstParagraph"/>
      </w:pPr>
      <w:r>
        <w:t xml:space="preserve">The Business Consultant intervention will last for six months. Consultants will be required to adhere to a standardized framework focusing on three pillars:</w:t>
      </w:r>
    </w:p>
    <w:p>
      <w:pPr>
        <w:numPr>
          <w:ilvl w:val="0"/>
          <w:numId w:val="1003"/>
        </w:numPr>
        <w:pStyle w:val="Compact"/>
      </w:pPr>
      <w:r>
        <w:rPr>
          <w:bCs/>
          <w:b/>
        </w:rPr>
        <w:t xml:space="preserve">Strategic Planning:</w:t>
      </w:r>
      <w:r>
        <w:t xml:space="preserve"> </w:t>
      </w:r>
      <w:r>
        <w:t xml:space="preserve">Development of a localized growth strategy considering the unique market dynamics of Italy Rome.</w:t>
      </w:r>
    </w:p>
    <w:p>
      <w:pPr>
        <w:numPr>
          <w:ilvl w:val="0"/>
          <w:numId w:val="1003"/>
        </w:numPr>
        <w:pStyle w:val="Compact"/>
      </w:pPr>
      <w:r>
        <w:rPr>
          <w:bCs/>
          <w:b/>
        </w:rPr>
        <w:t xml:space="preserve">Operational Optimization:</w:t>
      </w:r>
      <w:r>
        <w:t xml:space="preserve"> </w:t>
      </w:r>
      <w:r>
        <w:t xml:space="preserve">Streamlining processes to reduce waste and improve productivity.</w:t>
      </w:r>
    </w:p>
    <w:p>
      <w:pPr>
        <w:numPr>
          <w:ilvl w:val="0"/>
          <w:numId w:val="1003"/>
        </w:numPr>
        <w:pStyle w:val="Compact"/>
      </w:pPr>
      <w:r>
        <w:rPr>
          <w:bCs/>
          <w:b/>
        </w:rPr>
        <w:t xml:space="preserve">Digital Integration:</w:t>
      </w:r>
      <w:r>
        <w:t xml:space="preserve"> </w:t>
      </w:r>
      <w:r>
        <w:t xml:space="preserve">Implementation of CRM systems and e-commerce platforms tailored to the Italian consumer base.</w:t>
      </w:r>
    </w:p>
    <w:bookmarkEnd w:id="24"/>
    <w:bookmarkEnd w:id="25"/>
    <w:bookmarkStart w:id="26" w:name="data-collection-procedures"/>
    <w:p>
      <w:pPr>
        <w:pStyle w:val="Heading2"/>
      </w:pPr>
      <w:r>
        <w:t xml:space="preserve">4. Data Collection Procedures</w:t>
      </w:r>
    </w:p>
    <w:p>
      <w:pPr>
        <w:pStyle w:val="FirstParagraph"/>
      </w:pPr>
      <w:r>
        <w:t xml:space="preserve">Data will be collected at three distinct intervals: Baseline (T0), Mid-Point (T1), and Post-Intervention (T2).</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 Point</w:t>
            </w:r>
          </w:p>
        </w:tc>
        <w:tc>
          <w:tcPr/>
          <w:p>
            <w:pPr>
              <w:pStyle w:val="Compact"/>
              <w:jc w:val="left"/>
            </w:pPr>
            <w:r>
              <w:t xml:space="preserve">Data Type</w:t>
            </w:r>
          </w:p>
        </w:tc>
        <w:tc>
          <w:tcPr/>
          <w:p>
            <w:pPr>
              <w:pStyle w:val="Compact"/>
              <w:jc w:val="left"/>
            </w:pPr>
            <w:r>
              <w:t xml:space="preserve">Metrics</w:t>
            </w:r>
          </w:p>
        </w:tc>
      </w:tr>
      <w:tr>
        <w:tc>
          <w:tcPr/>
          <w:p>
            <w:pPr>
              <w:pStyle w:val="Compact"/>
              <w:jc w:val="left"/>
            </w:pPr>
            <w:r>
              <w:t xml:space="preserve">Baseline (T0)</w:t>
            </w:r>
          </w:p>
        </w:tc>
        <w:tc>
          <w:tcPr/>
          <w:p>
            <w:pPr>
              <w:pStyle w:val="Compact"/>
              <w:jc w:val="left"/>
            </w:pPr>
            <w:r>
              <w:t xml:space="preserve">Quantitative &amp; Qualitative</w:t>
            </w:r>
          </w:p>
        </w:tc>
        <w:tc>
          <w:tcPr/>
          <w:p>
            <w:pPr>
              <w:pStyle w:val="Compact"/>
              <w:jc w:val="left"/>
            </w:pPr>
            <w:r>
              <w:t xml:space="preserve">Financial statements, employee turnover rates, current tech stack, owner satisfaction survey.</w:t>
            </w:r>
          </w:p>
        </w:tc>
      </w:tr>
      <w:tr>
        <w:tc>
          <w:tcPr/>
          <w:p>
            <w:pPr>
              <w:pStyle w:val="Compact"/>
              <w:jc w:val="left"/>
            </w:pPr>
            <w:r>
              <w:t xml:space="preserve">Mid-Point (T1)</w:t>
            </w:r>
          </w:p>
        </w:tc>
        <w:tc>
          <w:tcPr/>
          <w:p>
            <w:pPr>
              <w:pStyle w:val="Compact"/>
              <w:jc w:val="left"/>
            </w:pPr>
            <w:r>
              <w:t xml:space="preserve">Quantitative</w:t>
            </w:r>
          </w:p>
        </w:tc>
        <w:tc>
          <w:tcPr/>
          <w:p>
            <w:pPr>
              <w:pStyle w:val="Compact"/>
              <w:jc w:val="left"/>
            </w:pPr>
            <w:r>
              <w:t xml:space="preserve">Progress against KPIs, implementation status of consultant recommendations.</w:t>
            </w:r>
          </w:p>
        </w:tc>
      </w:tr>
      <w:tr>
        <w:tc>
          <w:tcPr/>
          <w:p>
            <w:pPr>
              <w:pStyle w:val="Compact"/>
              <w:jc w:val="left"/>
            </w:pPr>
            <w:r>
              <w:t xml:space="preserve">Post-Intervention (T2)</w:t>
            </w:r>
          </w:p>
        </w:tc>
        <w:tc>
          <w:tcPr/>
          <w:p>
            <w:pPr>
              <w:pStyle w:val="Compact"/>
              <w:jc w:val="left"/>
            </w:pPr>
            <w:r>
              <w:t xml:space="preserve">Quantitative &amp; Qualitative</w:t>
            </w:r>
          </w:p>
        </w:tc>
        <w:tc>
          <w:tcPr/>
          <w:p>
            <w:pPr>
              <w:pStyle w:val="Compact"/>
              <w:jc w:val="left"/>
            </w:pPr>
            <w:r>
              <w:t xml:space="preserve">Final financial performance, ROI calculation, post-engagement satisfaction survey.</w:t>
            </w:r>
          </w:p>
        </w:tc>
      </w:tr>
    </w:tbl>
    <w:bookmarkEnd w:id="26"/>
    <w:bookmarkStart w:id="27" w:name="ethical-considerations-and-compliance"/>
    <w:p>
      <w:pPr>
        <w:pStyle w:val="Heading2"/>
      </w:pPr>
      <w:r>
        <w:t xml:space="preserve">5. Ethical Considerations and Compliance</w:t>
      </w:r>
    </w:p>
    <w:p>
      <w:pPr>
        <w:pStyle w:val="FirstParagraph"/>
      </w:pPr>
      <w:r>
        <w:t xml:space="preserve">Given the sensitive nature of business data, strict adherence to ethical standards is required. All participants will provide informed consent. The study will comply with the General Data Protection Regulation (GDPR) and specific Italian privacy laws (Codice in materia di protezione dei dati personali).</w:t>
      </w:r>
    </w:p>
    <w:p>
      <w:pPr>
        <w:pStyle w:val="BodyText"/>
      </w:pPr>
      <w:r>
        <w:t xml:space="preserve">Confidentiality agreements will be signed by all Business Consultants involved in the experiment. Data will be anonymized during analysis to prevent the identification of individual companies. The protocol has been reviewed to ensure no conflict of interest exists between the research team and the consulting firms providing the intervention.</w:t>
      </w:r>
    </w:p>
    <w:bookmarkEnd w:id="27"/>
    <w:bookmarkStart w:id="28" w:name="risk-management"/>
    <w:p>
      <w:pPr>
        <w:pStyle w:val="Heading2"/>
      </w:pPr>
      <w:r>
        <w:t xml:space="preserve">6. Risk Management</w:t>
      </w:r>
    </w:p>
    <w:p>
      <w:pPr>
        <w:pStyle w:val="FirstParagraph"/>
      </w:pPr>
      <w:r>
        <w:t xml:space="preserve">Potential risks include business disruption due to rapid changes recommended by consultants and the possibility of bias in self-reported data. To mitigate these risks:</w:t>
      </w:r>
    </w:p>
    <w:p>
      <w:pPr>
        <w:numPr>
          <w:ilvl w:val="0"/>
          <w:numId w:val="1004"/>
        </w:numPr>
        <w:pStyle w:val="Compact"/>
      </w:pPr>
      <w:r>
        <w:t xml:space="preserve">Consultants will be trained in change management to ensure smooth transitions.</w:t>
      </w:r>
    </w:p>
    <w:p>
      <w:pPr>
        <w:numPr>
          <w:ilvl w:val="0"/>
          <w:numId w:val="1004"/>
        </w:numPr>
        <w:pStyle w:val="Compact"/>
      </w:pPr>
      <w:r>
        <w:t xml:space="preserve">Financial data will be verified through third-party audits where possible.</w:t>
      </w:r>
    </w:p>
    <w:p>
      <w:pPr>
        <w:numPr>
          <w:ilvl w:val="0"/>
          <w:numId w:val="1004"/>
        </w:numPr>
        <w:pStyle w:val="Compact"/>
      </w:pPr>
      <w:r>
        <w:t xml:space="preserve">A drop-out protocol will be established to handle businesses that withdraw from the study prematurely.</w:t>
      </w:r>
    </w:p>
    <w:bookmarkEnd w:id="28"/>
    <w:bookmarkStart w:id="29" w:name="expected-outcomes-and-impact"/>
    <w:p>
      <w:pPr>
        <w:pStyle w:val="Heading2"/>
      </w:pPr>
      <w:r>
        <w:t xml:space="preserve">7. Expected Outcomes and Impact</w:t>
      </w:r>
    </w:p>
    <w:p>
      <w:pPr>
        <w:pStyle w:val="FirstParagraph"/>
      </w:pPr>
      <w:r>
        <w:t xml:space="preserve">This Experiment Protocol aims to provide empirical evidence regarding the value proposition of Business Consultants in the specific context of Italy Rome. Successful outcomes will demonstrate that professional consulting can significantly enhance the competitiveness of local SMEs.</w:t>
      </w:r>
    </w:p>
    <w:p>
      <w:pPr>
        <w:pStyle w:val="BodyText"/>
      </w:pPr>
      <w:r>
        <w:t xml:space="preserve">The findings will be disseminated to local business associations, policymakers in Rome, and academic institutions. Ultimately, this research seeks to foster a more robust ecosystem where data-driven consulting practices contribute to the economic vitality of the region. By understanding the nuances of how external expertise interacts with the local business culture of Rome, stakeholders can better leverage consulting services to drive sustainable growth.</w:t>
      </w:r>
    </w:p>
    <w:bookmarkEnd w:id="29"/>
    <w:bookmarkStart w:id="30" w:name="conclusion"/>
    <w:p>
      <w:pPr>
        <w:pStyle w:val="Heading2"/>
      </w:pPr>
      <w:r>
        <w:t xml:space="preserve">8. Conclusion</w:t>
      </w:r>
    </w:p>
    <w:p>
      <w:pPr>
        <w:pStyle w:val="FirstParagraph"/>
      </w:pPr>
      <w:r>
        <w:t xml:space="preserve">This protocol establishes a rigorous framework for testing the hypothesis that structured Business Consultant interventions yield positive economic and operational results for SMEs in Italy Rome. By following this detailed plan, the research team ensures validity, reliability, and ethical integrity throughout the experiment. The insights gained will be invaluable for businesses seeking to navigate the complexities of the modern marketplace in one of Europe's most historic and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Italy Rome</dc:title>
  <dc:creator/>
  <dc:language>en</dc:language>
  <cp:keywords/>
  <dcterms:created xsi:type="dcterms:W3CDTF">2026-10-10T08:36:08Z</dcterms:created>
  <dcterms:modified xsi:type="dcterms:W3CDTF">2026-10-10T08:36:08Z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