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Abidjan</w:t>
      </w:r>
    </w:p>
    <w:bookmarkStart w:id="20" w:name="X25440ff4bc6590e3e9e3b38bbd8d79b8fdcf580"/>
    <w:p>
      <w:pPr>
        <w:pStyle w:val="Heading1"/>
      </w:pPr>
      <w:r>
        <w:t xml:space="preserve">Experiment Protocol: Evaluating the Impact of Business Consultant Interventions on SME Growth in Ivory Coast Abidjan</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Abidjan, Ivory Coast</w:t>
      </w:r>
      <w:r>
        <w:br/>
      </w:r>
      <w:r>
        <w:rPr>
          <w:bCs/>
          <w:b/>
        </w:rPr>
        <w:t xml:space="preserve">Principal Investigator:</w:t>
      </w:r>
      <w:r>
        <w:t xml:space="preserve"> </w:t>
      </w:r>
      <w:r>
        <w:t xml:space="preserve">[Name Redacted]</w:t>
      </w:r>
      <w:r>
        <w:br/>
      </w:r>
      <w:r>
        <w:rPr>
          <w:bCs/>
          <w:b/>
        </w:rPr>
        <w:t xml:space="preserve">Organization:</w:t>
      </w:r>
      <w:r>
        <w:t xml:space="preserve"> </w:t>
      </w:r>
      <w:r>
        <w:t xml:space="preserve">[Organization Name]</w:t>
      </w:r>
    </w:p>
    <w:bookmarkEnd w:id="20"/>
    <w:bookmarkStart w:id="21" w:name="introduction-and-background"/>
    <w:p>
      <w:pPr>
        <w:pStyle w:val="Heading2"/>
      </w:pPr>
      <w:r>
        <w:t xml:space="preserve">1. Introduction and Background</w:t>
      </w:r>
    </w:p>
    <w:p>
      <w:pPr>
        <w:pStyle w:val="FirstParagraph"/>
      </w:pPr>
      <w:r>
        <w:t xml:space="preserve">The economic landscape of Ivory Coast, particularly within its economic capital, Abidjan, is characterized by a vibrant and rapidly expanding Small and Medium-sized Enterprise (SME) sector. These enterprises are pivotal to national development, contributing significantly to employment and GDP. However, many SMEs in Abidjan face structural challenges, including limited access to formal financing, regulatory complexities, and gaps in managerial expertise.</w:t>
      </w:r>
    </w:p>
    <w:p>
      <w:pPr>
        <w:pStyle w:val="BodyText"/>
      </w:pPr>
      <w:r>
        <w:t xml:space="preserve">Business Consultants are frequently engaged to bridge these gaps. While anecdotal evidence suggests positive outcomes, there is a lack of rigorous empirical data quantifying the specific impact of Business Consultant interventions in the Ivorian context. This Experiment Protocol outlines a structured approach to measure the efficacy of consulting services on key performance indicators (KPIs) for SMEs in Abidjan.</w:t>
      </w:r>
    </w:p>
    <w:bookmarkEnd w:id="21"/>
    <w:bookmarkStart w:id="22" w:name="objectives"/>
    <w:p>
      <w:pPr>
        <w:pStyle w:val="Heading2"/>
      </w:pPr>
      <w:r>
        <w:t xml:space="preserve">2. Objectives</w:t>
      </w:r>
    </w:p>
    <w:p>
      <w:pPr>
        <w:pStyle w:val="FirstParagraph"/>
      </w:pPr>
      <w:r>
        <w:t xml:space="preserve">The primary objective of this experiment is to determine the causal relationship between professional Business Consultant engagement and measurable business growth among SMEs in Ivory Coast Abidjan.</w:t>
      </w:r>
    </w:p>
    <w:p>
      <w:pPr>
        <w:pStyle w:val="BodyText"/>
      </w:pPr>
      <w:r>
        <w:t xml:space="preserve">Specific objectives include:</w:t>
      </w:r>
    </w:p>
    <w:p>
      <w:pPr>
        <w:numPr>
          <w:ilvl w:val="0"/>
          <w:numId w:val="1001"/>
        </w:numPr>
        <w:pStyle w:val="Compact"/>
      </w:pPr>
      <w:r>
        <w:t xml:space="preserve">To assess improvements in operational efficiency following consultant-led process optimization.</w:t>
      </w:r>
    </w:p>
    <w:p>
      <w:pPr>
        <w:numPr>
          <w:ilvl w:val="0"/>
          <w:numId w:val="1001"/>
        </w:numPr>
        <w:pStyle w:val="Compact"/>
      </w:pPr>
      <w:r>
        <w:t xml:space="preserve">To evaluate changes in revenue streams and profit margins over a six-month period.</w:t>
      </w:r>
    </w:p>
    <w:p>
      <w:pPr>
        <w:numPr>
          <w:ilvl w:val="0"/>
          <w:numId w:val="1001"/>
        </w:numPr>
        <w:pStyle w:val="Compact"/>
      </w:pPr>
      <w:r>
        <w:t xml:space="preserve">To analyze the impact of consultant advice on regulatory compliance and access to formal credit in Abidjan.</w:t>
      </w:r>
    </w:p>
    <w:p>
      <w:pPr>
        <w:numPr>
          <w:ilvl w:val="0"/>
          <w:numId w:val="1001"/>
        </w:numPr>
        <w:pStyle w:val="Compact"/>
      </w:pPr>
      <w:r>
        <w:t xml:space="preserve">To identify which specific consulting methodologies yield the highest return on investment for local businesses.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This is considered the gold standard for establishing causality. Participants will be randomly assigned to either a Treatment Group or a Control Group.</w:t>
      </w:r>
    </w:p>
    <w:p>
      <w:pPr>
        <w:numPr>
          <w:ilvl w:val="0"/>
          <w:numId w:val="1002"/>
        </w:numPr>
        <w:pStyle w:val="Compact"/>
      </w:pPr>
      <w:r>
        <w:rPr>
          <w:bCs/>
          <w:b/>
        </w:rPr>
        <w:t xml:space="preserve">Treatment Group:</w:t>
      </w:r>
      <w:r>
        <w:t xml:space="preserve"> </w:t>
      </w:r>
      <w:r>
        <w:t xml:space="preserve">SMEs that receive structured advisory services from a certified Business Consultant for a duration of six months.</w:t>
      </w:r>
    </w:p>
    <w:p>
      <w:pPr>
        <w:numPr>
          <w:ilvl w:val="0"/>
          <w:numId w:val="1002"/>
        </w:numPr>
        <w:pStyle w:val="Compact"/>
      </w:pPr>
      <w:r>
        <w:rPr>
          <w:bCs/>
          <w:b/>
        </w:rPr>
        <w:t xml:space="preserve">Control Group:</w:t>
      </w:r>
      <w:r>
        <w:t xml:space="preserve"> </w:t>
      </w:r>
      <w:r>
        <w:t xml:space="preserve">SMEs that continue their operations without external consulting intervention but are monitored for the same duration.</w:t>
      </w:r>
    </w:p>
    <w:bookmarkEnd w:id="23"/>
    <w:bookmarkStart w:id="24" w:name="target-population-and-sampling"/>
    <w:p>
      <w:pPr>
        <w:pStyle w:val="Heading3"/>
      </w:pPr>
      <w:r>
        <w:t xml:space="preserve">3.2 Target Population and Sampling</w:t>
      </w:r>
    </w:p>
    <w:p>
      <w:pPr>
        <w:pStyle w:val="FirstParagraph"/>
      </w:pPr>
      <w:r>
        <w:t xml:space="preserve">The target population consists of registered SMEs operating in the commercial districts of Abidjan, specifically Plateau, Cocody, and Marcory. To ensure relevance to the Ivory Coast market, the sample will focus on sectors critical to the local economy, including retail, agribusiness processing, and light manufacturing.</w:t>
      </w:r>
    </w:p>
    <w:p>
      <w:pPr>
        <w:pStyle w:val="BodyText"/>
      </w:pPr>
      <w:r>
        <w:t xml:space="preserve">Inclusion criteria:</w:t>
      </w:r>
    </w:p>
    <w:p>
      <w:pPr>
        <w:numPr>
          <w:ilvl w:val="0"/>
          <w:numId w:val="1003"/>
        </w:numPr>
        <w:pStyle w:val="Compact"/>
      </w:pPr>
      <w:r>
        <w:t xml:space="preserve">Business must be legally registered in Ivory Coast.</w:t>
      </w:r>
    </w:p>
    <w:p>
      <w:pPr>
        <w:numPr>
          <w:ilvl w:val="0"/>
          <w:numId w:val="1003"/>
        </w:numPr>
        <w:pStyle w:val="Compact"/>
      </w:pPr>
      <w:r>
        <w:t xml:space="preserve">Business must have been operational for at least two years.</w:t>
      </w:r>
    </w:p>
    <w:p>
      <w:pPr>
        <w:numPr>
          <w:ilvl w:val="0"/>
          <w:numId w:val="1003"/>
        </w:numPr>
        <w:pStyle w:val="Compact"/>
      </w:pPr>
      <w:r>
        <w:t xml:space="preserve">Business must employ between 5 and 50 staff members.</w:t>
      </w:r>
    </w:p>
    <w:p>
      <w:pPr>
        <w:numPr>
          <w:ilvl w:val="0"/>
          <w:numId w:val="1003"/>
        </w:numPr>
        <w:pStyle w:val="Compact"/>
      </w:pPr>
      <w:r>
        <w:t xml:space="preserve">Owner must be willing to provide financial data and participate in interviews.</w:t>
      </w:r>
    </w:p>
    <w:p>
      <w:pPr>
        <w:pStyle w:val="FirstParagraph"/>
      </w:pPr>
      <w:r>
        <w:t xml:space="preserve">A sample size of 100 SMEs will be recruited, with 50 assigned to each group. Randomization will be stratified by industry sector to ensure balanced representation.</w:t>
      </w:r>
    </w:p>
    <w:bookmarkEnd w:id="24"/>
    <w:bookmarkStart w:id="25" w:name="intervention-protocol"/>
    <w:p>
      <w:pPr>
        <w:pStyle w:val="Heading3"/>
      </w:pPr>
      <w:r>
        <w:t xml:space="preserve">3.3 Intervention Protocol</w:t>
      </w:r>
    </w:p>
    <w:p>
      <w:pPr>
        <w:pStyle w:val="FirstParagraph"/>
      </w:pPr>
      <w:r>
        <w:t xml:space="preserve">For the Treatment Group, the Business Consultant will follow a standardized intervention framework tailored to the Abidjan market context:</w:t>
      </w:r>
    </w:p>
    <w:p>
      <w:pPr>
        <w:numPr>
          <w:ilvl w:val="0"/>
          <w:numId w:val="1004"/>
        </w:numPr>
        <w:pStyle w:val="Compact"/>
      </w:pPr>
      <w:r>
        <w:rPr>
          <w:bCs/>
          <w:b/>
        </w:rPr>
        <w:t xml:space="preserve">Diagnostic Phase (Month 1):</w:t>
      </w:r>
      <w:r>
        <w:t xml:space="preserve"> </w:t>
      </w:r>
      <w:r>
        <w:t xml:space="preserve">Comprehensive audit of financial health, operational workflows, and market positioning.</w:t>
      </w:r>
    </w:p>
    <w:p>
      <w:pPr>
        <w:numPr>
          <w:ilvl w:val="0"/>
          <w:numId w:val="1004"/>
        </w:numPr>
        <w:pStyle w:val="Compact"/>
      </w:pPr>
      <w:r>
        <w:rPr>
          <w:bCs/>
          <w:b/>
        </w:rPr>
        <w:t xml:space="preserve">Strategy Formulation (Month 2):</w:t>
      </w:r>
      <w:r>
        <w:t xml:space="preserve"> </w:t>
      </w:r>
      <w:r>
        <w:t xml:space="preserve">Development of a customized business plan addressing local regulatory requirements and market opportunities.</w:t>
      </w:r>
    </w:p>
    <w:p>
      <w:pPr>
        <w:numPr>
          <w:ilvl w:val="0"/>
          <w:numId w:val="1004"/>
        </w:numPr>
        <w:pStyle w:val="Compact"/>
      </w:pPr>
      <w:r>
        <w:rPr>
          <w:bCs/>
          <w:b/>
        </w:rPr>
        <w:t xml:space="preserve">Implementation Support (Months 3-5):</w:t>
      </w:r>
      <w:r>
        <w:t xml:space="preserve"> </w:t>
      </w:r>
      <w:r>
        <w:t xml:space="preserve">Hands-on assistance with staff training, supply chain optimization, and digital transformation.</w:t>
      </w:r>
    </w:p>
    <w:p>
      <w:pPr>
        <w:numPr>
          <w:ilvl w:val="0"/>
          <w:numId w:val="1004"/>
        </w:numPr>
        <w:pStyle w:val="Compact"/>
      </w:pPr>
      <w:r>
        <w:rPr>
          <w:bCs/>
          <w:b/>
        </w:rPr>
        <w:t xml:space="preserve">Review and Adjustment (Month 6):</w:t>
      </w:r>
      <w:r>
        <w:t xml:space="preserve"> </w:t>
      </w:r>
      <w:r>
        <w:t xml:space="preserve">Final assessment of implemented strategies and preparation for post-intervention sustainability.</w:t>
      </w:r>
    </w:p>
    <w:bookmarkEnd w:id="25"/>
    <w:bookmarkEnd w:id="26"/>
    <w:bookmarkStart w:id="27" w:name="data-collection-and-metrics"/>
    <w:p>
      <w:pPr>
        <w:pStyle w:val="Heading2"/>
      </w:pPr>
      <w:r>
        <w:t xml:space="preserve">4. Data Collection and Metrics</w:t>
      </w:r>
    </w:p>
    <w:p>
      <w:pPr>
        <w:pStyle w:val="FirstParagraph"/>
      </w:pPr>
      <w:r>
        <w:t xml:space="preserve">Data will be collected at three intervals: Baseline (T0), Mid-point (T3), and End-line (T6).</w:t>
      </w:r>
    </w:p>
    <w:p>
      <w:pPr>
        <w:pStyle w:val="BodyText"/>
      </w:pPr>
      <w:r>
        <w:t xml:space="preserve">Key Performance Indicators (KPIs) include:</w:t>
      </w:r>
    </w:p>
    <w:p>
      <w:pPr>
        <w:numPr>
          <w:ilvl w:val="0"/>
          <w:numId w:val="1005"/>
        </w:numPr>
        <w:pStyle w:val="Compact"/>
      </w:pPr>
      <w:r>
        <w:rPr>
          <w:bCs/>
          <w:b/>
        </w:rPr>
        <w:t xml:space="preserve">Financial Metrics:</w:t>
      </w:r>
      <w:r>
        <w:t xml:space="preserve"> </w:t>
      </w:r>
      <w:r>
        <w:t xml:space="preserve">Monthly revenue, net profit margin, and cash flow stability.</w:t>
      </w:r>
    </w:p>
    <w:p>
      <w:pPr>
        <w:numPr>
          <w:ilvl w:val="0"/>
          <w:numId w:val="1005"/>
        </w:numPr>
        <w:pStyle w:val="Compact"/>
      </w:pPr>
      <w:r>
        <w:rPr>
          <w:bCs/>
          <w:b/>
        </w:rPr>
        <w:t xml:space="preserve">Operational Metrics:</w:t>
      </w:r>
      <w:r>
        <w:t xml:space="preserve"> </w:t>
      </w:r>
      <w:r>
        <w:t xml:space="preserve">Inventory turnover rates, production efficiency, and customer acquisition costs.</w:t>
      </w:r>
    </w:p>
    <w:p>
      <w:pPr>
        <w:numPr>
          <w:ilvl w:val="0"/>
          <w:numId w:val="1005"/>
        </w:numPr>
        <w:pStyle w:val="Compact"/>
      </w:pPr>
      <w:r>
        <w:rPr>
          <w:bCs/>
          <w:b/>
        </w:rPr>
        <w:t xml:space="preserve">Strategic Metrics:</w:t>
      </w:r>
      <w:r>
        <w:t xml:space="preserve"> </w:t>
      </w:r>
      <w:r>
        <w:t xml:space="preserve">Number of new contracts secured, level of regulatory compliance, and access to formal banking services.</w:t>
      </w:r>
    </w:p>
    <w:p>
      <w:pPr>
        <w:pStyle w:val="FirstParagraph"/>
      </w:pPr>
      <w:r>
        <w:t xml:space="preserve">Data collection methods will include financial statement analysis, structured surveys with business owners, and semi-structured interviews with key employees.</w:t>
      </w:r>
    </w:p>
    <w:bookmarkEnd w:id="27"/>
    <w:bookmarkStart w:id="28" w:name="ethical-considerations"/>
    <w:p>
      <w:pPr>
        <w:pStyle w:val="Heading2"/>
      </w:pPr>
      <w:r>
        <w:t xml:space="preserve">5. Ethical Considerations</w:t>
      </w:r>
    </w:p>
    <w:p>
      <w:pPr>
        <w:pStyle w:val="FirstParagraph"/>
      </w:pPr>
      <w:r>
        <w:t xml:space="preserve">This experiment adheres to strict ethical guidelines. Informed consent will be obtained from all participating business owners in both French and English, reflecting the linguistic context of Ivory Coast. Participants will be assured of the confidentiality of their financial data. The Control Group will be offered a summary of the consulting findings at the conclusion of the study to ensure equitable benefit distribution.</w:t>
      </w:r>
    </w:p>
    <w:bookmarkEnd w:id="28"/>
    <w:bookmarkStart w:id="29" w:name="risk-management"/>
    <w:p>
      <w:pPr>
        <w:pStyle w:val="Heading2"/>
      </w:pPr>
      <w:r>
        <w:t xml:space="preserve">6. Risk Management</w:t>
      </w:r>
    </w:p>
    <w:p>
      <w:pPr>
        <w:pStyle w:val="FirstParagraph"/>
      </w:pPr>
      <w:r>
        <w:t xml:space="preserve">Potential risks include participant attrition and external economic shocks affecting Abidjan's market. To mitigate attrition, regular engagement and small incentives for data submission will be provided. External risks will be monitored, and statistical models will control for macroeconomic variables where possible.</w:t>
      </w:r>
    </w:p>
    <w:bookmarkEnd w:id="29"/>
    <w:bookmarkStart w:id="30" w:name="timeline"/>
    <w:p>
      <w:pPr>
        <w:pStyle w:val="Heading2"/>
      </w:pPr>
      <w:r>
        <w:t xml:space="preserve">7. Timeline</w:t>
      </w:r>
    </w:p>
    <w:p>
      <w:pPr>
        <w:numPr>
          <w:ilvl w:val="0"/>
          <w:numId w:val="1006"/>
        </w:numPr>
        <w:pStyle w:val="Compact"/>
      </w:pPr>
      <w:r>
        <w:rPr>
          <w:bCs/>
          <w:b/>
        </w:rPr>
        <w:t xml:space="preserve">Months 1-2:</w:t>
      </w:r>
      <w:r>
        <w:t xml:space="preserve"> </w:t>
      </w:r>
      <w:r>
        <w:t xml:space="preserve">Recruitment, randomization, and baseline data collection.</w:t>
      </w:r>
    </w:p>
    <w:p>
      <w:pPr>
        <w:numPr>
          <w:ilvl w:val="0"/>
          <w:numId w:val="1006"/>
        </w:numPr>
        <w:pStyle w:val="Compact"/>
      </w:pPr>
      <w:r>
        <w:rPr>
          <w:bCs/>
          <w:b/>
        </w:rPr>
        <w:t xml:space="preserve">Months 3-8:</w:t>
      </w:r>
      <w:r>
        <w:t xml:space="preserve"> </w:t>
      </w:r>
      <w:r>
        <w:t xml:space="preserve">Implementation of the Business Consultant intervention for the Treatment Group.</w:t>
      </w:r>
    </w:p>
    <w:p>
      <w:pPr>
        <w:numPr>
          <w:ilvl w:val="0"/>
          <w:numId w:val="1006"/>
        </w:numPr>
        <w:pStyle w:val="Compact"/>
      </w:pPr>
      <w:r>
        <w:rPr>
          <w:bCs/>
          <w:b/>
        </w:rPr>
        <w:t xml:space="preserve">Month 9:</w:t>
      </w:r>
      <w:r>
        <w:t xml:space="preserve"> </w:t>
      </w:r>
      <w:r>
        <w:t xml:space="preserve">End-line data collection.</w:t>
      </w:r>
    </w:p>
    <w:p>
      <w:pPr>
        <w:numPr>
          <w:ilvl w:val="0"/>
          <w:numId w:val="1006"/>
        </w:numPr>
        <w:pStyle w:val="Compact"/>
      </w:pPr>
      <w:r>
        <w:rPr>
          <w:bCs/>
          <w:b/>
        </w:rPr>
        <w:t xml:space="preserve">Months 10-12:</w:t>
      </w:r>
      <w:r>
        <w:t xml:space="preserve"> </w:t>
      </w:r>
      <w:r>
        <w:t xml:space="preserve">Data analysis, reporting, and dissemination of results.</w:t>
      </w:r>
    </w:p>
    <w:bookmarkEnd w:id="30"/>
    <w:bookmarkStart w:id="31" w:name="conclusion"/>
    <w:p>
      <w:pPr>
        <w:pStyle w:val="Heading2"/>
      </w:pPr>
      <w:r>
        <w:t xml:space="preserve">8. Conclusion</w:t>
      </w:r>
    </w:p>
    <w:p>
      <w:pPr>
        <w:pStyle w:val="FirstParagraph"/>
      </w:pPr>
      <w:r>
        <w:t xml:space="preserve">This Experiment Protocol provides a robust framework for evaluating the tangible value of Business Consultants in the dynamic environment of Ivory Coast Abidjan. By employing a rigorous RCT methodology, this study aims to generate actionable insights that can guide policy makers, investors, and SME owners in optimizing business support mechanisms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Impact in Abidjan</dc:title>
  <dc:creator/>
  <dc:language>en</dc:language>
  <cp:keywords/>
  <dcterms:created xsi:type="dcterms:W3CDTF">2026-10-10T09:13:55Z</dcterms:created>
  <dcterms:modified xsi:type="dcterms:W3CDTF">2026-10-10T09:13:55Z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