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Japan</w:t>
      </w:r>
      <w:r>
        <w:t xml:space="preserve"> </w:t>
      </w:r>
      <w:r>
        <w:t xml:space="preserve">Osaka</w:t>
      </w:r>
    </w:p>
    <w:bookmarkStart w:id="20" w:name="X4803b45cc2026055f16e249e8ef7a9757b41df9"/>
    <w:p>
      <w:pPr>
        <w:pStyle w:val="Heading1"/>
      </w:pPr>
      <w:r>
        <w:t xml:space="preserve">Experiment Protocol: Business Consultant Efficacy in Japan Osaka</w:t>
      </w:r>
    </w:p>
    <w:p>
      <w:pPr>
        <w:pStyle w:val="FirstParagraph"/>
      </w:pPr>
      <w:r>
        <w:rPr>
          <w:bCs/>
          <w:b/>
        </w:rPr>
        <w:t xml:space="preserve">Protocol ID:</w:t>
      </w:r>
      <w:r>
        <w:t xml:space="preserve"> </w:t>
      </w:r>
      <w:r>
        <w:t xml:space="preserve">BP-OSAKA-2024-001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Japan Osaka</w:t>
      </w:r>
    </w:p>
    <w:p>
      <w:pPr>
        <w:pStyle w:val="BodyText"/>
      </w:pPr>
      <w:r>
        <w:rPr>
          <w:bCs/>
          <w:b/>
        </w:rPr>
        <w:t xml:space="preserve">Subject:</w:t>
      </w:r>
      <w:r>
        <w:t xml:space="preserve"> </w:t>
      </w:r>
      <w:r>
        <w:t xml:space="preserve">Business Consultant</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impact of a Business Consultant on small to medium-sized enterprises (SMEs) located in Japan Osaka. The unique economic landscape of Japan Osaka, characterized by a blend of traditional manufacturing, emerging tech startups, and a distinct business culture emphasizing consensus and long-term relationships, necessitates a tailored approach to consulting. This protocol aims to determine whether the intervention of a Business Consultant leads to measurable improvements in operational efficiency, strategic alignment, and financial performance within this specific regional context.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effectiveness of a Business Consultant in enhancing decision-making processes among SMEs in Japan Osaka.</w:t>
      </w:r>
    </w:p>
    <w:p>
      <w:pPr>
        <w:numPr>
          <w:ilvl w:val="0"/>
          <w:numId w:val="1001"/>
        </w:numPr>
        <w:pStyle w:val="Compact"/>
      </w:pPr>
      <w:r>
        <w:t xml:space="preserve">To measure changes in key performance indicators (KPIs) such as revenue growth, cost reduction, and employee satisfaction before and after consulting engagement.</w:t>
      </w:r>
    </w:p>
    <w:p>
      <w:pPr>
        <w:numPr>
          <w:ilvl w:val="0"/>
          <w:numId w:val="1001"/>
        </w:numPr>
        <w:pStyle w:val="Compact"/>
      </w:pPr>
      <w:r>
        <w:t xml:space="preserve">To evaluate the cultural adaptability of the Business Consultant within the Japan Osaka business environment.</w:t>
      </w:r>
    </w:p>
    <w:p>
      <w:pPr>
        <w:numPr>
          <w:ilvl w:val="0"/>
          <w:numId w:val="1001"/>
        </w:numPr>
        <w:pStyle w:val="Compact"/>
      </w:pPr>
      <w:r>
        <w:t xml:space="preserve">To identify best practices for consulting engagements specific to the Japan Osaka market.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quasi-experimental design with a control group. Participating companies will be divided into two groups: an intervention group that receives services from a Business Consultant and a control group that does not. The experiment will run for a period of six months.</w:t>
      </w:r>
    </w:p>
    <w:bookmarkEnd w:id="23"/>
    <w:bookmarkStart w:id="24" w:name="participants"/>
    <w:p>
      <w:pPr>
        <w:pStyle w:val="Heading3"/>
      </w:pPr>
      <w:r>
        <w:t xml:space="preserve">3.2 Participants</w:t>
      </w:r>
    </w:p>
    <w:p>
      <w:pPr>
        <w:pStyle w:val="FirstParagraph"/>
      </w:pPr>
      <w:r>
        <w:t xml:space="preserve">Participants will be SMEs based in Japan Osaka with 20-200 employees. Companies will be selected based on:</w:t>
      </w:r>
    </w:p>
    <w:p>
      <w:pPr>
        <w:numPr>
          <w:ilvl w:val="0"/>
          <w:numId w:val="1002"/>
        </w:numPr>
        <w:pStyle w:val="Compact"/>
      </w:pPr>
      <w:r>
        <w:t xml:space="preserve">Willingness to participate and provide data.</w:t>
      </w:r>
    </w:p>
    <w:p>
      <w:pPr>
        <w:numPr>
          <w:ilvl w:val="0"/>
          <w:numId w:val="1002"/>
        </w:numPr>
        <w:pStyle w:val="Compact"/>
      </w:pPr>
      <w:r>
        <w:t xml:space="preserve">Similar industry sectors to ensure comparability.</w:t>
      </w:r>
    </w:p>
    <w:p>
      <w:pPr>
        <w:numPr>
          <w:ilvl w:val="0"/>
          <w:numId w:val="1002"/>
        </w:numPr>
        <w:pStyle w:val="Compact"/>
      </w:pPr>
      <w:r>
        <w:t xml:space="preserve">No prior engagement with a Business Consultant in the last two years.</w:t>
      </w:r>
    </w:p>
    <w:bookmarkEnd w:id="24"/>
    <w:bookmarkStart w:id="25" w:name="intervention"/>
    <w:p>
      <w:pPr>
        <w:pStyle w:val="Heading3"/>
      </w:pPr>
      <w:r>
        <w:t xml:space="preserve">3.3 Intervention</w:t>
      </w:r>
    </w:p>
    <w:p>
      <w:pPr>
        <w:pStyle w:val="FirstParagraph"/>
      </w:pPr>
      <w:r>
        <w:t xml:space="preserve">The Business Consultant will work with the intervention group to:</w:t>
      </w:r>
    </w:p>
    <w:p>
      <w:pPr>
        <w:numPr>
          <w:ilvl w:val="0"/>
          <w:numId w:val="1003"/>
        </w:numPr>
        <w:pStyle w:val="Compact"/>
      </w:pPr>
      <w:r>
        <w:t xml:space="preserve">Conduct a comprehensive business analysis.</w:t>
      </w:r>
    </w:p>
    <w:p>
      <w:pPr>
        <w:numPr>
          <w:ilvl w:val="0"/>
          <w:numId w:val="1003"/>
        </w:numPr>
        <w:pStyle w:val="Compact"/>
      </w:pPr>
      <w:r>
        <w:t xml:space="preserve">Develop strategic plans aligned with Japan Osaka market trends.</w:t>
      </w:r>
    </w:p>
    <w:p>
      <w:pPr>
        <w:numPr>
          <w:ilvl w:val="0"/>
          <w:numId w:val="1003"/>
        </w:numPr>
        <w:pStyle w:val="Compact"/>
      </w:pPr>
      <w:r>
        <w:t xml:space="preserve">Implement process improvements and training programs.</w:t>
      </w:r>
    </w:p>
    <w:p>
      <w:pPr>
        <w:numPr>
          <w:ilvl w:val="0"/>
          <w:numId w:val="1003"/>
        </w:numPr>
        <w:pStyle w:val="Compact"/>
      </w:pPr>
      <w:r>
        <w:t xml:space="preserve">Provide ongoing support and feedback.</w:t>
      </w:r>
    </w:p>
    <w:bookmarkEnd w:id="25"/>
    <w:bookmarkEnd w:id="26"/>
    <w:bookmarkStart w:id="29" w:name="data-collection"/>
    <w:p>
      <w:pPr>
        <w:pStyle w:val="Heading2"/>
      </w:pPr>
      <w:r>
        <w:t xml:space="preserve">4. Data Collection</w:t>
      </w:r>
    </w:p>
    <w:bookmarkStart w:id="27" w:name="quantitative-data"/>
    <w:p>
      <w:pPr>
        <w:pStyle w:val="Heading3"/>
      </w:pPr>
      <w:r>
        <w:t xml:space="preserve">4.1 Quantitative Data</w:t>
      </w:r>
    </w:p>
    <w:p>
      <w:pPr>
        <w:pStyle w:val="FirstParagraph"/>
      </w:pPr>
      <w:r>
        <w:t xml:space="preserve">Quantitative data will be collected through:</w:t>
      </w:r>
    </w:p>
    <w:p>
      <w:pPr>
        <w:numPr>
          <w:ilvl w:val="0"/>
          <w:numId w:val="1004"/>
        </w:numPr>
        <w:pStyle w:val="Compact"/>
      </w:pPr>
      <w:r>
        <w:t xml:space="preserve">Financial statements (revenue, profit margins, cost structures).</w:t>
      </w:r>
    </w:p>
    <w:p>
      <w:pPr>
        <w:numPr>
          <w:ilvl w:val="0"/>
          <w:numId w:val="1004"/>
        </w:numPr>
        <w:pStyle w:val="Compact"/>
      </w:pPr>
      <w:r>
        <w:t xml:space="preserve">Operational metrics (production efficiency, customer acquisition costs).</w:t>
      </w:r>
    </w:p>
    <w:p>
      <w:pPr>
        <w:numPr>
          <w:ilvl w:val="0"/>
          <w:numId w:val="1004"/>
        </w:numPr>
        <w:pStyle w:val="Compact"/>
      </w:pPr>
      <w:r>
        <w:t xml:space="preserve">Employee surveys measuring satisfaction and engagement.</w:t>
      </w:r>
    </w:p>
    <w:bookmarkEnd w:id="27"/>
    <w:bookmarkStart w:id="28" w:name="qualitative-data"/>
    <w:p>
      <w:pPr>
        <w:pStyle w:val="Heading3"/>
      </w:pPr>
      <w:r>
        <w:t xml:space="preserve">4.2 Qualitative Data</w:t>
      </w:r>
    </w:p>
    <w:p>
      <w:pPr>
        <w:pStyle w:val="FirstParagraph"/>
      </w:pPr>
      <w:r>
        <w:t xml:space="preserve">Qualitative data will be gathered via:</w:t>
      </w:r>
    </w:p>
    <w:p>
      <w:pPr>
        <w:numPr>
          <w:ilvl w:val="0"/>
          <w:numId w:val="1005"/>
        </w:numPr>
        <w:pStyle w:val="Compact"/>
      </w:pPr>
      <w:r>
        <w:t xml:space="preserve">Semi-structured interviews with company executives.</w:t>
      </w:r>
    </w:p>
    <w:p>
      <w:pPr>
        <w:numPr>
          <w:ilvl w:val="0"/>
          <w:numId w:val="1005"/>
        </w:numPr>
        <w:pStyle w:val="Compact"/>
      </w:pPr>
      <w:r>
        <w:t xml:space="preserve">Focus groups with employees.</w:t>
      </w:r>
    </w:p>
    <w:p>
      <w:pPr>
        <w:numPr>
          <w:ilvl w:val="0"/>
          <w:numId w:val="1005"/>
        </w:numPr>
        <w:pStyle w:val="Compact"/>
      </w:pPr>
      <w:r>
        <w:t xml:space="preserve">Observations of consulting sessions and implementation processes.</w:t>
      </w:r>
    </w:p>
    <w:bookmarkEnd w:id="28"/>
    <w:bookmarkEnd w:id="29"/>
    <w:bookmarkStart w:id="30" w:name="ethical-considerations"/>
    <w:p>
      <w:pPr>
        <w:pStyle w:val="Heading2"/>
      </w:pPr>
      <w:r>
        <w:t xml:space="preserve">5. Ethical Considerations</w:t>
      </w:r>
    </w:p>
    <w:p>
      <w:pPr>
        <w:pStyle w:val="FirstParagraph"/>
      </w:pPr>
      <w:r>
        <w:t xml:space="preserve">All participants will provide informed consent. Confidentiality of business data will be strictly maintained. The experiment will comply with Japanese data protection laws and ethical guidelines for business research.</w:t>
      </w:r>
    </w:p>
    <w:bookmarkEnd w:id="30"/>
    <w:bookmarkStart w:id="31" w:name="timeline"/>
    <w:p>
      <w:pPr>
        <w:pStyle w:val="Heading2"/>
      </w:pPr>
      <w:r>
        <w:t xml:space="preserve">6. Timeline</w:t>
      </w:r>
    </w:p>
    <w:p>
      <w:pPr>
        <w:numPr>
          <w:ilvl w:val="0"/>
          <w:numId w:val="1006"/>
        </w:numPr>
        <w:pStyle w:val="Compact"/>
      </w:pPr>
      <w:r>
        <w:rPr>
          <w:bCs/>
          <w:b/>
        </w:rPr>
        <w:t xml:space="preserve">Month 1:</w:t>
      </w:r>
      <w:r>
        <w:t xml:space="preserve"> </w:t>
      </w:r>
      <w:r>
        <w:t xml:space="preserve">Recruitment and baseline data collection.</w:t>
      </w:r>
    </w:p>
    <w:p>
      <w:pPr>
        <w:numPr>
          <w:ilvl w:val="0"/>
          <w:numId w:val="1006"/>
        </w:numPr>
        <w:pStyle w:val="Compact"/>
      </w:pPr>
      <w:r>
        <w:rPr>
          <w:bCs/>
          <w:b/>
        </w:rPr>
        <w:t xml:space="preserve">Months 2-5:</w:t>
      </w:r>
      <w:r>
        <w:t xml:space="preserve"> </w:t>
      </w:r>
      <w:r>
        <w:t xml:space="preserve">Consulting intervention and ongoing data collection.</w:t>
      </w:r>
    </w:p>
    <w:p>
      <w:pPr>
        <w:numPr>
          <w:ilvl w:val="0"/>
          <w:numId w:val="1006"/>
        </w:numPr>
        <w:pStyle w:val="Compact"/>
      </w:pPr>
      <w:r>
        <w:rPr>
          <w:bCs/>
          <w:b/>
        </w:rPr>
        <w:t xml:space="preserve">Month 6:</w:t>
      </w:r>
      <w:r>
        <w:t xml:space="preserve"> </w:t>
      </w:r>
      <w:r>
        <w:t xml:space="preserve">Post-intervention data collection and analysis.</w:t>
      </w:r>
    </w:p>
    <w:bookmarkEnd w:id="31"/>
    <w:bookmarkStart w:id="32" w:name="expected-outcomes"/>
    <w:p>
      <w:pPr>
        <w:pStyle w:val="Heading2"/>
      </w:pPr>
      <w:r>
        <w:t xml:space="preserve">7. Expected Outcomes</w:t>
      </w:r>
    </w:p>
    <w:p>
      <w:pPr>
        <w:pStyle w:val="FirstParagraph"/>
      </w:pPr>
      <w:r>
        <w:t xml:space="preserve">We anticipate that the intervention group will show statistically significant improvements in KPIs compared to the control group. Additionally, qualitative feedback is expected to highlight the importance of cultural sensitivity and localized strategies when a Business Consultant operates in Japan Osaka.</w:t>
      </w:r>
    </w:p>
    <w:bookmarkEnd w:id="32"/>
    <w:bookmarkStart w:id="33" w:name="conclusion"/>
    <w:p>
      <w:pPr>
        <w:pStyle w:val="Heading2"/>
      </w:pPr>
      <w:r>
        <w:t xml:space="preserve">8. Conclusion</w:t>
      </w:r>
    </w:p>
    <w:p>
      <w:pPr>
        <w:pStyle w:val="FirstParagraph"/>
      </w:pPr>
      <w:r>
        <w:t xml:space="preserve">This Experiment Protocol provides a structured approach to evaluating the role of a Business Consultant in Japan Osaka. By adhering to this protocol, we aim to generate actionable insights that can benefit both consulting professionals and businesses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Japan Osaka</dc:title>
  <dc:creator/>
  <dc:language>en</dc:language>
  <cp:keywords/>
  <dcterms:created xsi:type="dcterms:W3CDTF">2026-10-10T08:36:09Z</dcterms:created>
  <dcterms:modified xsi:type="dcterms:W3CDTF">2026-10-10T08:36:09Z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