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Japan</w:t>
      </w:r>
      <w:r>
        <w:t xml:space="preserve"> </w:t>
      </w:r>
      <w:r>
        <w:t xml:space="preserve">Tokyo</w:t>
      </w:r>
    </w:p>
    <w:bookmarkStart w:id="20" w:name="Xd4ef442ae6e64a76e6fbf463a231410b5975201"/>
    <w:p>
      <w:pPr>
        <w:pStyle w:val="Heading1"/>
      </w:pPr>
      <w:r>
        <w:t xml:space="preserve">Experiment Protocol: Business Consultant Efficacy in Japan Tokyo</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Japan Tokyo</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assessing the impact of Business Consultant interventions on organizational performance within the Japan Tokyo metropolitan area. The study aims to evaluate how external consulting expertise influences strategic decision-making, operational efficiency, and cultural alignment in Japanese enterprises.</w:t>
      </w:r>
    </w:p>
    <w:p>
      <w:pPr>
        <w:pStyle w:val="BodyText"/>
      </w:pPr>
      <w:r>
        <w:t xml:space="preserve">The unique business environment of Japan Tokyo, characterized by hierarchical structures, consensus-driven decision-making, and a strong emphasis on long-term relationships, necessitates a tailored approach to consulting. This protocol ensures that the experiment is conducted with cultural sensitivity and scientific rigor.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effectiveness of Business Consultant recommendations in improving key performance indicators (KPIs) in Japan Tokyo-based companies.</w:t>
      </w:r>
    </w:p>
    <w:p>
      <w:pPr>
        <w:numPr>
          <w:ilvl w:val="0"/>
          <w:numId w:val="1001"/>
        </w:numPr>
        <w:pStyle w:val="Compact"/>
      </w:pPr>
      <w:r>
        <w:t xml:space="preserve">To assess the role of cultural adaptation in the success of consulting engagements.</w:t>
      </w:r>
    </w:p>
    <w:p>
      <w:pPr>
        <w:numPr>
          <w:ilvl w:val="0"/>
          <w:numId w:val="1001"/>
        </w:numPr>
        <w:pStyle w:val="Compact"/>
      </w:pPr>
      <w:r>
        <w:t xml:space="preserve">To identify best practices for integrating external expertise into traditional Japanese business frameworks.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randomized controlled trial (RCT) design. Participating companies in Japan Tokyo will be divided into two groups:</w:t>
      </w:r>
    </w:p>
    <w:p>
      <w:pPr>
        <w:numPr>
          <w:ilvl w:val="0"/>
          <w:numId w:val="1002"/>
        </w:numPr>
        <w:pStyle w:val="Compact"/>
      </w:pPr>
      <w:r>
        <w:rPr>
          <w:bCs/>
          <w:b/>
        </w:rPr>
        <w:t xml:space="preserve">Intervention Group:</w:t>
      </w:r>
      <w:r>
        <w:t xml:space="preserve"> </w:t>
      </w:r>
      <w:r>
        <w:t xml:space="preserve">Companies that receive structured consulting services from certified Business Consultants.</w:t>
      </w:r>
    </w:p>
    <w:p>
      <w:pPr>
        <w:numPr>
          <w:ilvl w:val="0"/>
          <w:numId w:val="1002"/>
        </w:numPr>
        <w:pStyle w:val="Compact"/>
      </w:pPr>
      <w:r>
        <w:rPr>
          <w:bCs/>
          <w:b/>
        </w:rPr>
        <w:t xml:space="preserve">Control Group:</w:t>
      </w:r>
      <w:r>
        <w:t xml:space="preserve"> </w:t>
      </w:r>
      <w:r>
        <w:t xml:space="preserve">Companies that continue with their existing operational strategies without external consulting input.</w:t>
      </w:r>
    </w:p>
    <w:p>
      <w:pPr>
        <w:pStyle w:val="FirstParagraph"/>
      </w:pPr>
      <w:r>
        <w:t xml:space="preserve">The study duration will be 12 months, with data collection occurring at baseline, mid-point (6 months), and end-point (12 months).</w:t>
      </w:r>
    </w:p>
    <w:bookmarkEnd w:id="23"/>
    <w:bookmarkStart w:id="24" w:name="participant-selection"/>
    <w:p>
      <w:pPr>
        <w:pStyle w:val="Heading3"/>
      </w:pPr>
      <w:r>
        <w:t xml:space="preserve">3.2 Participant Selection</w:t>
      </w:r>
    </w:p>
    <w:p>
      <w:pPr>
        <w:pStyle w:val="FirstParagraph"/>
      </w:pPr>
      <w:r>
        <w:t xml:space="preserve">Participants will be mid-sized enterprises located in Japan Tokyo, operating in sectors such as technology, manufacturing, and retail. Inclusion criteria are:</w:t>
      </w:r>
    </w:p>
    <w:p>
      <w:pPr>
        <w:numPr>
          <w:ilvl w:val="0"/>
          <w:numId w:val="1003"/>
        </w:numPr>
        <w:pStyle w:val="Compact"/>
      </w:pPr>
      <w:r>
        <w:t xml:space="preserve">Minimum of 50 employees.</w:t>
      </w:r>
    </w:p>
    <w:p>
      <w:pPr>
        <w:numPr>
          <w:ilvl w:val="0"/>
          <w:numId w:val="1003"/>
        </w:numPr>
        <w:pStyle w:val="Compact"/>
      </w:pPr>
      <w:r>
        <w:t xml:space="preserve">Willingness to implement consultant recommendations.</w:t>
      </w:r>
    </w:p>
    <w:p>
      <w:pPr>
        <w:numPr>
          <w:ilvl w:val="0"/>
          <w:numId w:val="1003"/>
        </w:numPr>
        <w:pStyle w:val="Compact"/>
      </w:pPr>
      <w:r>
        <w:t xml:space="preserve">No prior engagement with external Business Consultants in the last 24 months.</w:t>
      </w:r>
    </w:p>
    <w:p>
      <w:pPr>
        <w:pStyle w:val="FirstParagraph"/>
      </w:pPr>
      <w:r>
        <w:t xml:space="preserve">Exclusion criteria include companies undergoing mergers, acquisitions, or significant restructuring during the study period.</w:t>
      </w:r>
    </w:p>
    <w:bookmarkEnd w:id="24"/>
    <w:bookmarkStart w:id="25" w:name="intervention-protocol"/>
    <w:p>
      <w:pPr>
        <w:pStyle w:val="Heading3"/>
      </w:pPr>
      <w:r>
        <w:t xml:space="preserve">3.3 Intervention Protocol</w:t>
      </w:r>
    </w:p>
    <w:p>
      <w:pPr>
        <w:pStyle w:val="FirstParagraph"/>
      </w:pPr>
      <w:r>
        <w:t xml:space="preserve">The Business Consultant intervention will consist of the following phases:</w:t>
      </w:r>
    </w:p>
    <w:p>
      <w:pPr>
        <w:numPr>
          <w:ilvl w:val="0"/>
          <w:numId w:val="1004"/>
        </w:numPr>
        <w:pStyle w:val="Compact"/>
      </w:pPr>
      <w:r>
        <w:rPr>
          <w:bCs/>
          <w:b/>
        </w:rPr>
        <w:t xml:space="preserve">Initial Assessment:</w:t>
      </w:r>
      <w:r>
        <w:t xml:space="preserve"> </w:t>
      </w:r>
      <w:r>
        <w:t xml:space="preserve">Comprehensive analysis of organizational structure, processes, and market position.</w:t>
      </w:r>
    </w:p>
    <w:p>
      <w:pPr>
        <w:numPr>
          <w:ilvl w:val="0"/>
          <w:numId w:val="1004"/>
        </w:numPr>
        <w:pStyle w:val="Compact"/>
      </w:pPr>
      <w:r>
        <w:rPr>
          <w:bCs/>
          <w:b/>
        </w:rPr>
        <w:t xml:space="preserve">Strategy Development:</w:t>
      </w:r>
      <w:r>
        <w:t xml:space="preserve"> </w:t>
      </w:r>
      <w:r>
        <w:t xml:space="preserve">Creation of tailored recommendations aligned with Japan Tokyo business norms.</w:t>
      </w:r>
    </w:p>
    <w:p>
      <w:pPr>
        <w:numPr>
          <w:ilvl w:val="0"/>
          <w:numId w:val="1004"/>
        </w:numPr>
        <w:pStyle w:val="Compact"/>
      </w:pPr>
      <w:r>
        <w:rPr>
          <w:bCs/>
          <w:b/>
        </w:rPr>
        <w:t xml:space="preserve">Implementation Support:</w:t>
      </w:r>
      <w:r>
        <w:t xml:space="preserve"> </w:t>
      </w:r>
      <w:r>
        <w:t xml:space="preserve">Guided execution of strategies with regular feedback sessions.</w:t>
      </w:r>
    </w:p>
    <w:p>
      <w:pPr>
        <w:numPr>
          <w:ilvl w:val="0"/>
          <w:numId w:val="1004"/>
        </w:numPr>
        <w:pStyle w:val="Compact"/>
      </w:pPr>
      <w:r>
        <w:rPr>
          <w:bCs/>
          <w:b/>
        </w:rPr>
        <w:t xml:space="preserve">Monitoring and Adjustment:</w:t>
      </w:r>
      <w:r>
        <w:t xml:space="preserve"> </w:t>
      </w:r>
      <w:r>
        <w:t xml:space="preserve">Ongoing evaluation of progress and refinement of approaches.</w:t>
      </w:r>
    </w:p>
    <w:p>
      <w:pPr>
        <w:pStyle w:val="FirstParagraph"/>
      </w:pPr>
      <w:r>
        <w:t xml:space="preserve">All consultants will undergo training in Japanese business etiquette and communication styles to ensure cultural competence.</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validity and reliability:</w:t>
      </w:r>
    </w:p>
    <w:p>
      <w:pPr>
        <w:numPr>
          <w:ilvl w:val="0"/>
          <w:numId w:val="1005"/>
        </w:numPr>
        <w:pStyle w:val="Compact"/>
      </w:pPr>
      <w:r>
        <w:rPr>
          <w:bCs/>
          <w:b/>
        </w:rPr>
        <w:t xml:space="preserve">Quantitative Metrics:</w:t>
      </w:r>
      <w:r>
        <w:t xml:space="preserve"> </w:t>
      </w:r>
      <w:r>
        <w:t xml:space="preserve">Financial performance, employee productivity, customer satisfaction scores.</w:t>
      </w:r>
    </w:p>
    <w:p>
      <w:pPr>
        <w:numPr>
          <w:ilvl w:val="0"/>
          <w:numId w:val="1005"/>
        </w:numPr>
        <w:pStyle w:val="Compact"/>
      </w:pPr>
      <w:r>
        <w:rPr>
          <w:bCs/>
          <w:b/>
        </w:rPr>
        <w:t xml:space="preserve">Qualitative Insights:</w:t>
      </w:r>
      <w:r>
        <w:t xml:space="preserve"> </w:t>
      </w:r>
      <w:r>
        <w:t xml:space="preserve">Interviews with senior management, employee surveys, and focus groups.</w:t>
      </w:r>
    </w:p>
    <w:p>
      <w:pPr>
        <w:numPr>
          <w:ilvl w:val="0"/>
          <w:numId w:val="1005"/>
        </w:numPr>
        <w:pStyle w:val="Compact"/>
      </w:pPr>
      <w:r>
        <w:rPr>
          <w:bCs/>
          <w:b/>
        </w:rPr>
        <w:t xml:space="preserve">Observational Data:</w:t>
      </w:r>
      <w:r>
        <w:t xml:space="preserve"> </w:t>
      </w:r>
      <w:r>
        <w:t xml:space="preserve">Documentation of decision-making processes and implementation timelines.</w:t>
      </w:r>
    </w:p>
    <w:p>
      <w:pPr>
        <w:pStyle w:val="FirstParagraph"/>
      </w:pPr>
      <w:r>
        <w:t xml:space="preserve">All data will be anonymized to protect participant confidentiality and comply with Japan's Personal Information Protection Act (PIPA).</w:t>
      </w:r>
    </w:p>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subjects. Key considerations include:</w:t>
      </w:r>
    </w:p>
    <w:p>
      <w:pPr>
        <w:numPr>
          <w:ilvl w:val="0"/>
          <w:numId w:val="1006"/>
        </w:numPr>
        <w:pStyle w:val="Compact"/>
      </w:pPr>
      <w:r>
        <w:t xml:space="preserve">Informed consent from all participating companies and employees.</w:t>
      </w:r>
    </w:p>
    <w:p>
      <w:pPr>
        <w:numPr>
          <w:ilvl w:val="0"/>
          <w:numId w:val="1006"/>
        </w:numPr>
        <w:pStyle w:val="Compact"/>
      </w:pPr>
      <w:r>
        <w:t xml:space="preserve">Voluntary participation with the right to withdraw at any time.</w:t>
      </w:r>
    </w:p>
    <w:p>
      <w:pPr>
        <w:numPr>
          <w:ilvl w:val="0"/>
          <w:numId w:val="1006"/>
        </w:numPr>
        <w:pStyle w:val="Compact"/>
      </w:pPr>
      <w:r>
        <w:t xml:space="preserve">Minimization of potential risks, such as operational disruptions or employee stress.</w:t>
      </w:r>
    </w:p>
    <w:p>
      <w:pPr>
        <w:numPr>
          <w:ilvl w:val="0"/>
          <w:numId w:val="1006"/>
        </w:numPr>
        <w:pStyle w:val="Compact"/>
      </w:pPr>
      <w:r>
        <w:t xml:space="preserve">Transparent reporting of findings without bias.</w:t>
      </w:r>
    </w:p>
    <w:p>
      <w:pPr>
        <w:pStyle w:val="FirstParagraph"/>
      </w:pPr>
      <w:r>
        <w:t xml:space="preserve">The study has been reviewed and approved by an independent ethics committee.</w:t>
      </w:r>
    </w:p>
    <w:bookmarkEnd w:id="28"/>
    <w:bookmarkStart w:id="29" w:name="expected-outcomes"/>
    <w:p>
      <w:pPr>
        <w:pStyle w:val="Heading2"/>
      </w:pPr>
      <w:r>
        <w:t xml:space="preserve">6. Expected Outcomes</w:t>
      </w:r>
    </w:p>
    <w:p>
      <w:pPr>
        <w:pStyle w:val="FirstParagraph"/>
      </w:pPr>
      <w:r>
        <w:t xml:space="preserve">The experiment anticipates the following outcomes:</w:t>
      </w:r>
    </w:p>
    <w:p>
      <w:pPr>
        <w:numPr>
          <w:ilvl w:val="0"/>
          <w:numId w:val="1007"/>
        </w:numPr>
        <w:pStyle w:val="Compact"/>
      </w:pPr>
      <w:r>
        <w:t xml:space="preserve">Improved KPIs in the intervention group compared to the control group.</w:t>
      </w:r>
    </w:p>
    <w:p>
      <w:pPr>
        <w:numPr>
          <w:ilvl w:val="0"/>
          <w:numId w:val="1007"/>
        </w:numPr>
        <w:pStyle w:val="Compact"/>
      </w:pPr>
      <w:r>
        <w:t xml:space="preserve">Enhanced understanding of how Business Consultants can navigate Japan Tokyo's unique business landscape.</w:t>
      </w:r>
    </w:p>
    <w:p>
      <w:pPr>
        <w:numPr>
          <w:ilvl w:val="0"/>
          <w:numId w:val="1007"/>
        </w:numPr>
        <w:pStyle w:val="Compact"/>
      </w:pPr>
      <w:r>
        <w:t xml:space="preserve">Development of a framework for culturally adaptive consulting practices.</w:t>
      </w:r>
    </w:p>
    <w:p>
      <w:pPr>
        <w:pStyle w:val="FirstParagraph"/>
      </w:pPr>
      <w:r>
        <w:t xml:space="preserve">Results will be disseminated through academic publications, industry reports, and workshops tailored to stakeholders in Japan Tokyo.</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of Business Consultants in Japan Tokyo. By combining rigorous methodology with cultural awareness, the study aims to generate actionable insights that benefit both consulting professionals and Japanese enterprises. The findings will contribute to the broader understanding of how external expertise can drive sustainable growth in diverse business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Japan Tokyo</dc:title>
  <dc:creator/>
  <dc:language>en</dc:language>
  <cp:keywords/>
  <dcterms:created xsi:type="dcterms:W3CDTF">2026-10-10T07:32:35Z</dcterms:created>
  <dcterms:modified xsi:type="dcterms:W3CDTF">2026-10-10T07:32:35Z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