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Kazakhstan</w:t>
      </w:r>
      <w:r>
        <w:t xml:space="preserve"> </w:t>
      </w:r>
      <w:r>
        <w:t xml:space="preserve">Almaty</w:t>
      </w:r>
    </w:p>
    <w:bookmarkStart w:id="20" w:name="X0a41ca928079d05e0bfdf7473cdf83551b4bd64"/>
    <w:p>
      <w:pPr>
        <w:pStyle w:val="Heading1"/>
      </w:pPr>
      <w:r>
        <w:t xml:space="preserve">Experiment Protocol: Business Consultant Efficacy in Kazakhstan Almaty</w:t>
      </w:r>
    </w:p>
    <w:p>
      <w:pPr>
        <w:pStyle w:val="FirstParagraph"/>
      </w:pPr>
      <w:r>
        <w:rPr>
          <w:bCs/>
          <w:b/>
        </w:rPr>
        <w:t xml:space="preserve">Document ID:</w:t>
      </w:r>
      <w:r>
        <w:t xml:space="preserve"> </w:t>
      </w:r>
      <w:r>
        <w:t xml:space="preserve">EP-ALMATY-BC-2024-001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Almaty, Kazakhstan</w:t>
      </w:r>
    </w:p>
    <w:p>
      <w:pPr>
        <w:pStyle w:val="BodyText"/>
      </w:pPr>
      <w:r>
        <w:rPr>
          <w:bCs/>
          <w:b/>
        </w:rPr>
        <w:t xml:space="preserve">Subject:</w:t>
      </w:r>
      <w:r>
        <w:t xml:space="preserve"> </w:t>
      </w:r>
      <w:r>
        <w:t xml:space="preserve">Business Consultant</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impact of professional Business Consultant services on small and medium-sized enterprises (SMEs) operating in Almaty, Kazakhstan. Almaty serves as the economic hub of Kazakhstan, characterized by a dynamic mix of traditional industries, emerging technology sectors, and a growing entrepreneurial ecosystem. Despite this vibrancy, many local businesses face challenges related to strategic planning, operational efficiency, and market expansion.</w:t>
      </w:r>
    </w:p>
    <w:p>
      <w:pPr>
        <w:pStyle w:val="BodyText"/>
      </w:pPr>
      <w:r>
        <w:t xml:space="preserve">The role of the Business Consultant in this context is critical. Consultants are expected to provide expert guidance, implement best practices, and facilitate organizational change. However, there is limited empirical data regarding the specific efficacy of consulting interventions tailored to the unique regulatory, cultural, and economic environment of Kazakhstan Almaty. This experiment aims to fill that gap by systematically evaluating the outcomes of consultant-led initiatives.</w:t>
      </w:r>
    </w:p>
    <w:bookmarkEnd w:id="21"/>
    <w:bookmarkStart w:id="22" w:name="objectives"/>
    <w:p>
      <w:pPr>
        <w:pStyle w:val="Heading2"/>
      </w:pPr>
      <w:r>
        <w:t xml:space="preserve">2. Objectives</w:t>
      </w:r>
    </w:p>
    <w:p>
      <w:pPr>
        <w:pStyle w:val="FirstParagraph"/>
      </w:pPr>
      <w:r>
        <w:t xml:space="preserve">The primary objective of this experiment is to determine whether the engagement of a qualified Business Consultant leads to measurable improvements in key performance indicators (KPIs) for SMEs in Almaty. Specific objectives include:</w:t>
      </w:r>
    </w:p>
    <w:p>
      <w:pPr>
        <w:numPr>
          <w:ilvl w:val="0"/>
          <w:numId w:val="1001"/>
        </w:numPr>
        <w:pStyle w:val="Compact"/>
      </w:pPr>
      <w:r>
        <w:t xml:space="preserve">To quantify the impact of consulting services on revenue growth and cost reduction.</w:t>
      </w:r>
    </w:p>
    <w:p>
      <w:pPr>
        <w:numPr>
          <w:ilvl w:val="0"/>
          <w:numId w:val="1001"/>
        </w:numPr>
        <w:pStyle w:val="Compact"/>
      </w:pPr>
      <w:r>
        <w:t xml:space="preserve">To assess improvements in operational efficiency and process optimization.</w:t>
      </w:r>
    </w:p>
    <w:p>
      <w:pPr>
        <w:numPr>
          <w:ilvl w:val="0"/>
          <w:numId w:val="1001"/>
        </w:numPr>
        <w:pStyle w:val="Compact"/>
      </w:pPr>
      <w:r>
        <w:t xml:space="preserve">To evaluate the effectiveness of strategic planning recommendations provided by consultants.</w:t>
      </w:r>
    </w:p>
    <w:p>
      <w:pPr>
        <w:numPr>
          <w:ilvl w:val="0"/>
          <w:numId w:val="1001"/>
        </w:numPr>
        <w:pStyle w:val="Compact"/>
      </w:pPr>
      <w:r>
        <w:t xml:space="preserve">To analyze the adaptability of consulting methodologies to the local business culture and regulatory framework of Kazakhstan.</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randomized controlled trial (RCT) design. Participating SMEs in Almaty will be randomly assigned to one of two groups:</w:t>
      </w:r>
    </w:p>
    <w:p>
      <w:pPr>
        <w:numPr>
          <w:ilvl w:val="0"/>
          <w:numId w:val="1002"/>
        </w:numPr>
        <w:pStyle w:val="Compact"/>
      </w:pPr>
      <w:r>
        <w:rPr>
          <w:bCs/>
          <w:b/>
        </w:rPr>
        <w:t xml:space="preserve">Treatment Group:</w:t>
      </w:r>
      <w:r>
        <w:t xml:space="preserve"> </w:t>
      </w:r>
      <w:r>
        <w:t xml:space="preserve">Companies that receive structured consulting services from a certified Business Consultant for a period of six months.</w:t>
      </w:r>
    </w:p>
    <w:p>
      <w:pPr>
        <w:numPr>
          <w:ilvl w:val="0"/>
          <w:numId w:val="1002"/>
        </w:numPr>
        <w:pStyle w:val="Compact"/>
      </w:pPr>
      <w:r>
        <w:rPr>
          <w:bCs/>
          <w:b/>
        </w:rPr>
        <w:t xml:space="preserve">Control Group:</w:t>
      </w:r>
      <w:r>
        <w:t xml:space="preserve"> </w:t>
      </w:r>
      <w:r>
        <w:t xml:space="preserve">Companies that continue their operations without external consulting intervention during the same period.</w:t>
      </w:r>
    </w:p>
    <w:p>
      <w:pPr>
        <w:pStyle w:val="FirstParagraph"/>
      </w:pPr>
      <w:r>
        <w:t xml:space="preserve">Both groups will be matched based on industry sector, company size, and baseline financial performance to ensure comparability.</w:t>
      </w:r>
    </w:p>
    <w:bookmarkEnd w:id="23"/>
    <w:bookmarkStart w:id="24" w:name="participant-selection"/>
    <w:p>
      <w:pPr>
        <w:pStyle w:val="Heading3"/>
      </w:pPr>
      <w:r>
        <w:t xml:space="preserve">3.2 Participant Selection</w:t>
      </w:r>
    </w:p>
    <w:p>
      <w:pPr>
        <w:pStyle w:val="FirstParagraph"/>
      </w:pPr>
      <w:r>
        <w:t xml:space="preserve">Participants will be selected from SMEs registered in Almaty, Kazakhstan. Inclusion criteria include:</w:t>
      </w:r>
    </w:p>
    <w:p>
      <w:pPr>
        <w:numPr>
          <w:ilvl w:val="0"/>
          <w:numId w:val="1003"/>
        </w:numPr>
        <w:pStyle w:val="Compact"/>
      </w:pPr>
      <w:r>
        <w:t xml:space="preserve">Minimum of two years of operation.</w:t>
      </w:r>
    </w:p>
    <w:p>
      <w:pPr>
        <w:numPr>
          <w:ilvl w:val="0"/>
          <w:numId w:val="1003"/>
        </w:numPr>
        <w:pStyle w:val="Compact"/>
      </w:pPr>
      <w:r>
        <w:t xml:space="preserve">Employment of at least 10 full-time staff.</w:t>
      </w:r>
    </w:p>
    <w:p>
      <w:pPr>
        <w:numPr>
          <w:ilvl w:val="0"/>
          <w:numId w:val="1003"/>
        </w:numPr>
        <w:pStyle w:val="Compact"/>
      </w:pPr>
      <w:r>
        <w:t xml:space="preserve">Willingness to provide financial and operational data for analysis.</w:t>
      </w:r>
    </w:p>
    <w:p>
      <w:pPr>
        <w:numPr>
          <w:ilvl w:val="0"/>
          <w:numId w:val="1003"/>
        </w:numPr>
        <w:pStyle w:val="Compact"/>
      </w:pPr>
      <w:r>
        <w:t xml:space="preserve">Agreement to implement recommendations from the Business Consultant (for the treatment group).</w:t>
      </w:r>
    </w:p>
    <w:p>
      <w:pPr>
        <w:pStyle w:val="FirstParagraph"/>
      </w:pPr>
      <w:r>
        <w:t xml:space="preserve">A total of 60 companies will be recruited, with 30 in each group.</w:t>
      </w:r>
    </w:p>
    <w:bookmarkEnd w:id="24"/>
    <w:bookmarkStart w:id="25" w:name="intervention-protocol"/>
    <w:p>
      <w:pPr>
        <w:pStyle w:val="Heading3"/>
      </w:pPr>
      <w:r>
        <w:t xml:space="preserve">3.3 Intervention Protocol</w:t>
      </w:r>
    </w:p>
    <w:p>
      <w:pPr>
        <w:pStyle w:val="FirstParagraph"/>
      </w:pPr>
      <w:r>
        <w:t xml:space="preserve">The Business Consultant assigned to the treatment group will follow a standardized intervention protocol, which includes:</w:t>
      </w:r>
    </w:p>
    <w:p>
      <w:pPr>
        <w:numPr>
          <w:ilvl w:val="0"/>
          <w:numId w:val="1004"/>
        </w:numPr>
        <w:pStyle w:val="Compact"/>
      </w:pPr>
      <w:r>
        <w:rPr>
          <w:bCs/>
          <w:b/>
        </w:rPr>
        <w:t xml:space="preserve">Initial Assessment:</w:t>
      </w:r>
      <w:r>
        <w:t xml:space="preserve"> </w:t>
      </w:r>
      <w:r>
        <w:t xml:space="preserve">Comprehensive analysis of the company’s current operations, financial health, and market position.</w:t>
      </w:r>
    </w:p>
    <w:p>
      <w:pPr>
        <w:numPr>
          <w:ilvl w:val="0"/>
          <w:numId w:val="1004"/>
        </w:numPr>
        <w:pStyle w:val="Compact"/>
      </w:pPr>
      <w:r>
        <w:rPr>
          <w:bCs/>
          <w:b/>
        </w:rPr>
        <w:t xml:space="preserve">Strategic Planning:</w:t>
      </w:r>
      <w:r>
        <w:t xml:space="preserve"> </w:t>
      </w:r>
      <w:r>
        <w:t xml:space="preserve">Development of a tailored strategic plan aligned with the company’s goals and the local market conditions in Almaty.</w:t>
      </w:r>
    </w:p>
    <w:p>
      <w:pPr>
        <w:numPr>
          <w:ilvl w:val="0"/>
          <w:numId w:val="1004"/>
        </w:numPr>
        <w:pStyle w:val="Compact"/>
      </w:pPr>
      <w:r>
        <w:rPr>
          <w:bCs/>
          <w:b/>
        </w:rPr>
        <w:t xml:space="preserve">Implementation Support:</w:t>
      </w:r>
      <w:r>
        <w:t xml:space="preserve"> </w:t>
      </w:r>
      <w:r>
        <w:t xml:space="preserve">Hands-on assistance in executing strategic initiatives, including process redesign and staff training.</w:t>
      </w:r>
    </w:p>
    <w:p>
      <w:pPr>
        <w:numPr>
          <w:ilvl w:val="0"/>
          <w:numId w:val="1004"/>
        </w:numPr>
        <w:pStyle w:val="Compact"/>
      </w:pPr>
      <w:r>
        <w:rPr>
          <w:bCs/>
          <w:b/>
        </w:rPr>
        <w:t xml:space="preserve">Monitoring and Evaluation:</w:t>
      </w:r>
      <w:r>
        <w:t xml:space="preserve"> </w:t>
      </w:r>
      <w:r>
        <w:t xml:space="preserve">Regular reviews to track progress and adjust strategies as needed.</w:t>
      </w:r>
    </w:p>
    <w:p>
      <w:pPr>
        <w:pStyle w:val="FirstParagraph"/>
      </w:pPr>
      <w:r>
        <w:t xml:space="preserve">The consultant will adhere to ethical guidelines and maintain confidentiality of all proprietary information.</w:t>
      </w:r>
    </w:p>
    <w:bookmarkEnd w:id="25"/>
    <w:bookmarkEnd w:id="26"/>
    <w:bookmarkStart w:id="29" w:name="data-collection-and-analysis"/>
    <w:p>
      <w:pPr>
        <w:pStyle w:val="Heading2"/>
      </w:pPr>
      <w:r>
        <w:t xml:space="preserve">4. Data Collection and Analysis</w:t>
      </w:r>
    </w:p>
    <w:bookmarkStart w:id="27" w:name="data-collection"/>
    <w:p>
      <w:pPr>
        <w:pStyle w:val="Heading3"/>
      </w:pPr>
      <w:r>
        <w:t xml:space="preserve">4.1 Data Collection</w:t>
      </w:r>
    </w:p>
    <w:p>
      <w:pPr>
        <w:pStyle w:val="FirstParagraph"/>
      </w:pPr>
      <w:r>
        <w:t xml:space="preserve">Data will be collected at three intervals: baseline (before the intervention), mid-point (three months), and end-point (six months). Key metrics include:</w:t>
      </w:r>
    </w:p>
    <w:p>
      <w:pPr>
        <w:numPr>
          <w:ilvl w:val="0"/>
          <w:numId w:val="1005"/>
        </w:numPr>
        <w:pStyle w:val="Compact"/>
      </w:pPr>
      <w:r>
        <w:t xml:space="preserve">Financial performance (revenue, profit margins, cost structures).</w:t>
      </w:r>
    </w:p>
    <w:p>
      <w:pPr>
        <w:numPr>
          <w:ilvl w:val="0"/>
          <w:numId w:val="1005"/>
        </w:numPr>
        <w:pStyle w:val="Compact"/>
      </w:pPr>
      <w:r>
        <w:t xml:space="preserve">Operational efficiency (production times, resource utilization).</w:t>
      </w:r>
    </w:p>
    <w:p>
      <w:pPr>
        <w:numPr>
          <w:ilvl w:val="0"/>
          <w:numId w:val="1005"/>
        </w:numPr>
        <w:pStyle w:val="Compact"/>
      </w:pPr>
      <w:r>
        <w:t xml:space="preserve">Employee satisfaction and engagement levels.</w:t>
      </w:r>
    </w:p>
    <w:p>
      <w:pPr>
        <w:numPr>
          <w:ilvl w:val="0"/>
          <w:numId w:val="1005"/>
        </w:numPr>
        <w:pStyle w:val="Compact"/>
      </w:pPr>
      <w:r>
        <w:t xml:space="preserve">Customer satisfaction scores.</w:t>
      </w:r>
    </w:p>
    <w:p>
      <w:pPr>
        <w:pStyle w:val="FirstParagraph"/>
      </w:pPr>
      <w:r>
        <w:t xml:space="preserve">Data will be gathered through financial reports, operational logs, surveys, and interviews with company management.</w:t>
      </w:r>
    </w:p>
    <w:bookmarkEnd w:id="27"/>
    <w:bookmarkStart w:id="28" w:name="data-analysis"/>
    <w:p>
      <w:pPr>
        <w:pStyle w:val="Heading3"/>
      </w:pPr>
      <w:r>
        <w:t xml:space="preserve">4.2 Data Analysis</w:t>
      </w:r>
    </w:p>
    <w:p>
      <w:pPr>
        <w:pStyle w:val="FirstParagraph"/>
      </w:pPr>
      <w:r>
        <w:t xml:space="preserve">Statistical analysis will be conducted to compare the performance of the treatment and control groups. Techniques such as t-tests and ANOVA will be used to determine the significance of observed differences. Qualitative data from interviews will be analyzed thematically to provide context to the quantitative findings.</w:t>
      </w:r>
    </w:p>
    <w:bookmarkEnd w:id="28"/>
    <w:bookmarkEnd w:id="29"/>
    <w:bookmarkStart w:id="30" w:name="ethical-considerations"/>
    <w:p>
      <w:pPr>
        <w:pStyle w:val="Heading2"/>
      </w:pPr>
      <w:r>
        <w:t xml:space="preserve">5. Ethical Considerations</w:t>
      </w:r>
    </w:p>
    <w:p>
      <w:pPr>
        <w:pStyle w:val="FirstParagraph"/>
      </w:pPr>
      <w:r>
        <w:t xml:space="preserve">This experiment will adhere to ethical standards for research involving human subjects and business entities. Informed consent will be obtained from all participating companies. Confidentiality of sensitive business information will be strictly maintained. The Business Consultant will avoid conflicts of interest and ensure that recommendations are in the best interest of the client companies.</w:t>
      </w:r>
    </w:p>
    <w:bookmarkEnd w:id="30"/>
    <w:bookmarkStart w:id="31" w:name="timeline"/>
    <w:p>
      <w:pPr>
        <w:pStyle w:val="Heading2"/>
      </w:pPr>
      <w:r>
        <w:t xml:space="preserve">6. Timeline</w:t>
      </w:r>
    </w:p>
    <w:p>
      <w:pPr>
        <w:numPr>
          <w:ilvl w:val="0"/>
          <w:numId w:val="1006"/>
        </w:numPr>
        <w:pStyle w:val="Compact"/>
      </w:pPr>
      <w:r>
        <w:rPr>
          <w:bCs/>
          <w:b/>
        </w:rPr>
        <w:t xml:space="preserve">Month 1:</w:t>
      </w:r>
      <w:r>
        <w:t xml:space="preserve"> </w:t>
      </w:r>
      <w:r>
        <w:t xml:space="preserve">Recruitment and baseline data collection.</w:t>
      </w:r>
    </w:p>
    <w:p>
      <w:pPr>
        <w:numPr>
          <w:ilvl w:val="0"/>
          <w:numId w:val="1006"/>
        </w:numPr>
        <w:pStyle w:val="Compact"/>
      </w:pPr>
      <w:r>
        <w:rPr>
          <w:bCs/>
          <w:b/>
        </w:rPr>
        <w:t xml:space="preserve">Months 2-7:</w:t>
      </w:r>
      <w:r>
        <w:t xml:space="preserve"> </w:t>
      </w:r>
      <w:r>
        <w:t xml:space="preserve">Implementation of consulting intervention.</w:t>
      </w:r>
    </w:p>
    <w:p>
      <w:pPr>
        <w:numPr>
          <w:ilvl w:val="0"/>
          <w:numId w:val="1006"/>
        </w:numPr>
        <w:pStyle w:val="Compact"/>
      </w:pPr>
      <w:r>
        <w:rPr>
          <w:bCs/>
          <w:b/>
        </w:rPr>
        <w:t xml:space="preserve">Month 4:</w:t>
      </w:r>
      <w:r>
        <w:t xml:space="preserve"> </w:t>
      </w:r>
      <w:r>
        <w:t xml:space="preserve">Mid-point data collection.</w:t>
      </w:r>
    </w:p>
    <w:p>
      <w:pPr>
        <w:numPr>
          <w:ilvl w:val="0"/>
          <w:numId w:val="1006"/>
        </w:numPr>
        <w:pStyle w:val="Compact"/>
      </w:pPr>
      <w:r>
        <w:rPr>
          <w:bCs/>
          <w:b/>
        </w:rPr>
        <w:t xml:space="preserve">Month 7:</w:t>
      </w:r>
      <w:r>
        <w:t xml:space="preserve"> </w:t>
      </w:r>
      <w:r>
        <w:t xml:space="preserve">End-point data collection.</w:t>
      </w:r>
    </w:p>
    <w:p>
      <w:pPr>
        <w:numPr>
          <w:ilvl w:val="0"/>
          <w:numId w:val="1006"/>
        </w:numPr>
        <w:pStyle w:val="Compact"/>
      </w:pPr>
      <w:r>
        <w:rPr>
          <w:bCs/>
          <w:b/>
        </w:rPr>
        <w:t xml:space="preserve">Months 8-9:</w:t>
      </w:r>
      <w:r>
        <w:t xml:space="preserve"> </w:t>
      </w:r>
      <w:r>
        <w:t xml:space="preserve">Data analysis and reporting.</w:t>
      </w:r>
    </w:p>
    <w:bookmarkEnd w:id="31"/>
    <w:bookmarkStart w:id="32" w:name="expected-outcomes"/>
    <w:p>
      <w:pPr>
        <w:pStyle w:val="Heading2"/>
      </w:pPr>
      <w:r>
        <w:t xml:space="preserve">7. Expected Outcomes</w:t>
      </w:r>
    </w:p>
    <w:p>
      <w:pPr>
        <w:pStyle w:val="FirstParagraph"/>
      </w:pPr>
      <w:r>
        <w:t xml:space="preserve">It is anticipated that companies in the treatment group will demonstrate statistically significant improvements in financial and operational performance compared to the control group. Additionally, the experiment will provide insights into the most effective consulting practices for businesses in Kazakhstan Almaty, contributing to the broader understanding of the Business Consultant role in emerging markets.</w:t>
      </w:r>
    </w:p>
    <w:bookmarkEnd w:id="32"/>
    <w:bookmarkStart w:id="33" w:name="conclusion"/>
    <w:p>
      <w:pPr>
        <w:pStyle w:val="Heading2"/>
      </w:pPr>
      <w:r>
        <w:t xml:space="preserve">8. Conclusion</w:t>
      </w:r>
    </w:p>
    <w:p>
      <w:pPr>
        <w:pStyle w:val="FirstParagraph"/>
      </w:pPr>
      <w:r>
        <w:t xml:space="preserve">This Experiment Protocol provides a rigorous framework for evaluating the impact of Business Consultant services on SMEs in Almaty, Kazakhstan. By systematically measuring outcomes and adhering to ethical standards, this study aims to generate valuable evidence that can inform business practices, consulting methodologies, and policy decisions in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Kazakhstan Almaty</dc:title>
  <dc:creator/>
  <dc:language>en</dc:language>
  <cp:keywords/>
  <dcterms:created xsi:type="dcterms:W3CDTF">2026-10-10T08:39:48Z</dcterms:created>
  <dcterms:modified xsi:type="dcterms:W3CDTF">2026-10-10T08:39:48Z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