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Kuwait</w:t>
      </w:r>
      <w:r>
        <w:t xml:space="preserve"> </w:t>
      </w:r>
      <w:r>
        <w:t xml:space="preserve">City</w:t>
      </w:r>
    </w:p>
    <w:p>
      <w:pPr>
        <w:pStyle w:val="FirstParagraph"/>
      </w:pPr>
      <w:r>
        <w:rPr>
          <w:bCs/>
          <w:b/>
        </w:rPr>
        <w:t xml:space="preserve">Document Title:</w:t>
      </w:r>
      <w:r>
        <w:t xml:space="preserve"> </w:t>
      </w:r>
      <w:r>
        <w:t xml:space="preserve">Experiment Protocol: Impact of Strategic Business Consulting on SME Growth in Kuwait City</w:t>
      </w:r>
      <w:r>
        <w:br/>
      </w:r>
      <w:r>
        <w:rPr>
          <w:bCs/>
          <w:b/>
        </w:rPr>
        <w:t xml:space="preserve">Location:</w:t>
      </w:r>
      <w:r>
        <w:t xml:space="preserve"> </w:t>
      </w:r>
      <w:r>
        <w:t xml:space="preserve">Kuwait City, Kuwait</w:t>
      </w:r>
      <w:r>
        <w:br/>
      </w:r>
      <w:r>
        <w:rPr>
          <w:bCs/>
          <w:b/>
        </w:rPr>
        <w:t xml:space="preserve">Subject:</w:t>
      </w:r>
      <w:r>
        <w:t xml:space="preserve"> </w:t>
      </w:r>
      <w:r>
        <w:t xml:space="preserve">Business Consultant Performance and Client ROI</w:t>
      </w:r>
      <w:r>
        <w:br/>
      </w:r>
      <w:r>
        <w:rPr>
          <w:bCs/>
          <w:b/>
        </w:rPr>
        <w:t xml:space="preserve">Version:</w:t>
      </w:r>
      <w:r>
        <w:t xml:space="preserve"> </w:t>
      </w:r>
      <w:r>
        <w:t xml:space="preserve">1.0</w:t>
      </w:r>
      <w:r>
        <w:br/>
      </w:r>
      <w:r>
        <w:rPr>
          <w:bCs/>
          <w:b/>
        </w:rPr>
        <w:t xml:space="preserve">Date:</w:t>
      </w:r>
      <w:r>
        <w:t xml:space="preserve"> </w:t>
      </w:r>
      <w:r>
        <w:t xml:space="preserve">October 26, 2023</w:t>
      </w:r>
    </w:p>
    <w:bookmarkStart w:id="35" w:name="experiment-protocol"/>
    <w:p>
      <w:pPr>
        <w:pStyle w:val="Heading1"/>
      </w:pPr>
      <w:r>
        <w:t xml:space="preserve">Experiment Protocol</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tangible impact of professional Business Consultant services on Small and Medium-sized Enterprises (SMEs) located within Kuwait City. The primary objective is to determine whether the engagement of a certified Business Consultant leads to statistically significant improvements in operational efficiency, revenue growth, and market positioning compared to internal management strategies alone.</w:t>
      </w:r>
    </w:p>
    <w:p>
      <w:pPr>
        <w:pStyle w:val="BodyText"/>
      </w:pPr>
      <w:r>
        <w:t xml:space="preserve">Given the dynamic economic landscape of Kuwait City, characterized by a mix of traditional commerce and rapid digital transformation, this study aims to quantify the value proposition of external advisory services. The protocol ensures that the data collected is robust, culturally relevant, and aligned with the specific regulatory and commercial environment of Kuwait.</w:t>
      </w:r>
    </w:p>
    <w:bookmarkEnd w:id="20"/>
    <w:bookmarkStart w:id="23" w:name="scope-and-definitions"/>
    <w:p>
      <w:pPr>
        <w:pStyle w:val="Heading2"/>
      </w:pPr>
      <w:r>
        <w:t xml:space="preserve">2. Scope and Definitions</w:t>
      </w:r>
    </w:p>
    <w:bookmarkStart w:id="21" w:name="target-population"/>
    <w:p>
      <w:pPr>
        <w:pStyle w:val="Heading3"/>
      </w:pPr>
      <w:r>
        <w:t xml:space="preserve">2.1 Target Population</w:t>
      </w:r>
    </w:p>
    <w:p>
      <w:pPr>
        <w:pStyle w:val="FirstParagraph"/>
      </w:pPr>
      <w:r>
        <w:t xml:space="preserve">The experiment will focus on SMEs registered in Kuwait City across three key sectors: Retail, Information Technology, and Professional Services. These sectors were chosen due to their high density in the capital and their varying degrees of reliance on external expertise.</w:t>
      </w:r>
    </w:p>
    <w:bookmarkEnd w:id="21"/>
    <w:bookmarkStart w:id="22" w:name="key-definitions"/>
    <w:p>
      <w:pPr>
        <w:pStyle w:val="Heading3"/>
      </w:pPr>
      <w:r>
        <w:t xml:space="preserve">2.2 Key Definitions</w:t>
      </w:r>
    </w:p>
    <w:p>
      <w:pPr>
        <w:numPr>
          <w:ilvl w:val="0"/>
          <w:numId w:val="1001"/>
        </w:numPr>
        <w:pStyle w:val="Compact"/>
      </w:pPr>
      <w:r>
        <w:rPr>
          <w:bCs/>
          <w:b/>
        </w:rPr>
        <w:t xml:space="preserve">Business Consultant:</w:t>
      </w:r>
      <w:r>
        <w:t xml:space="preserve"> </w:t>
      </w:r>
      <w:r>
        <w:t xml:space="preserve">A qualified professional or firm providing expert advice to improve business performance, hired specifically for this experiment.</w:t>
      </w:r>
    </w:p>
    <w:p>
      <w:pPr>
        <w:numPr>
          <w:ilvl w:val="0"/>
          <w:numId w:val="1001"/>
        </w:numPr>
        <w:pStyle w:val="Compact"/>
      </w:pPr>
      <w:r>
        <w:rPr>
          <w:bCs/>
          <w:b/>
        </w:rPr>
        <w:t xml:space="preserve">Control Group:</w:t>
      </w:r>
      <w:r>
        <w:t xml:space="preserve"> </w:t>
      </w:r>
      <w:r>
        <w:t xml:space="preserve">SMEs in Kuwait City that continue with their existing internal management strategies without external consulting intervention.</w:t>
      </w:r>
    </w:p>
    <w:p>
      <w:pPr>
        <w:numPr>
          <w:ilvl w:val="0"/>
          <w:numId w:val="1001"/>
        </w:numPr>
        <w:pStyle w:val="Compact"/>
      </w:pPr>
      <w:r>
        <w:rPr>
          <w:bCs/>
          <w:b/>
        </w:rPr>
        <w:t xml:space="preserve">Treatment Group:</w:t>
      </w:r>
      <w:r>
        <w:t xml:space="preserve"> </w:t>
      </w:r>
      <w:r>
        <w:t xml:space="preserve">SMEs in Kuwait City that engage the assigned Business Consultant for a defined period.</w:t>
      </w:r>
    </w:p>
    <w:bookmarkEnd w:id="22"/>
    <w:bookmarkEnd w:id="23"/>
    <w:bookmarkStart w:id="26"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utilizes a randomized controlled trial (RCT) design. A total of 60 SMEs in Kuwait City will be selected. Participants will be randomly assigned to either the Treatment Group (n=30) or the Control Group (n=30). Randomization will be stratified by industry sector to ensure balanced representation.</w:t>
      </w:r>
    </w:p>
    <w:bookmarkEnd w:id="24"/>
    <w:bookmarkStart w:id="25" w:name="selection-criteria"/>
    <w:p>
      <w:pPr>
        <w:pStyle w:val="Heading3"/>
      </w:pPr>
      <w:r>
        <w:t xml:space="preserve">3.2 Selection Criteria</w:t>
      </w:r>
    </w:p>
    <w:p>
      <w:pPr>
        <w:pStyle w:val="FirstParagraph"/>
      </w:pPr>
      <w:r>
        <w:t xml:space="preserve">To ensure validity, participating businesses must meet the following criteria:</w:t>
      </w:r>
    </w:p>
    <w:p>
      <w:pPr>
        <w:numPr>
          <w:ilvl w:val="0"/>
          <w:numId w:val="1002"/>
        </w:numPr>
        <w:pStyle w:val="Compact"/>
      </w:pPr>
      <w:r>
        <w:t xml:space="preserve">Headquartered in Kuwait City with operations for at least three years.</w:t>
      </w:r>
    </w:p>
    <w:p>
      <w:pPr>
        <w:numPr>
          <w:ilvl w:val="0"/>
          <w:numId w:val="1002"/>
        </w:numPr>
        <w:pStyle w:val="Compact"/>
      </w:pPr>
      <w:r>
        <w:t xml:space="preserve">Annual revenue between KWD 50,000 and KWD 500,000.</w:t>
      </w:r>
    </w:p>
    <w:p>
      <w:pPr>
        <w:numPr>
          <w:ilvl w:val="0"/>
          <w:numId w:val="1002"/>
        </w:numPr>
        <w:pStyle w:val="Compact"/>
      </w:pPr>
      <w:r>
        <w:t xml:space="preserve">Willingness to share financial and operational data for the duration of the study.</w:t>
      </w:r>
    </w:p>
    <w:p>
      <w:pPr>
        <w:numPr>
          <w:ilvl w:val="0"/>
          <w:numId w:val="1002"/>
        </w:numPr>
        <w:pStyle w:val="Compact"/>
      </w:pPr>
      <w:r>
        <w:t xml:space="preserve">No prior engagement with a strategic Business Consultant in the last 12 months.</w:t>
      </w:r>
    </w:p>
    <w:bookmarkEnd w:id="25"/>
    <w:bookmarkEnd w:id="26"/>
    <w:bookmarkStart w:id="30" w:name="experimental-procedure"/>
    <w:p>
      <w:pPr>
        <w:pStyle w:val="Heading2"/>
      </w:pPr>
      <w:r>
        <w:t xml:space="preserve">4. Experimental Procedure</w:t>
      </w:r>
    </w:p>
    <w:bookmarkStart w:id="27" w:name="phase-1-baseline-assessment-weeks-1-4"/>
    <w:p>
      <w:pPr>
        <w:pStyle w:val="Heading3"/>
      </w:pPr>
      <w:r>
        <w:t xml:space="preserve">4.1 Phase 1: Baseline Assessment (Weeks 1-4)</w:t>
      </w:r>
    </w:p>
    <w:p>
      <w:pPr>
        <w:pStyle w:val="FirstParagraph"/>
      </w:pPr>
      <w:r>
        <w:t xml:space="preserve">During the initial phase, a comprehensive baseline audit will be conducted for all 60 participating SMEs in Kuwait City. Metrics to be recorded include:</w:t>
      </w:r>
    </w:p>
    <w:p>
      <w:pPr>
        <w:numPr>
          <w:ilvl w:val="0"/>
          <w:numId w:val="1003"/>
        </w:numPr>
        <w:pStyle w:val="Compact"/>
      </w:pPr>
      <w:r>
        <w:t xml:space="preserve">Current monthly revenue and profit margins.</w:t>
      </w:r>
    </w:p>
    <w:p>
      <w:pPr>
        <w:numPr>
          <w:ilvl w:val="0"/>
          <w:numId w:val="1003"/>
        </w:numPr>
        <w:pStyle w:val="Compact"/>
      </w:pPr>
      <w:r>
        <w:t xml:space="preserve">Employee productivity rates.</w:t>
      </w:r>
    </w:p>
    <w:p>
      <w:pPr>
        <w:numPr>
          <w:ilvl w:val="0"/>
          <w:numId w:val="1003"/>
        </w:numPr>
        <w:pStyle w:val="Compact"/>
      </w:pPr>
      <w:r>
        <w:t xml:space="preserve">Customer acquisition costs.</w:t>
      </w:r>
    </w:p>
    <w:p>
      <w:pPr>
        <w:numPr>
          <w:ilvl w:val="0"/>
          <w:numId w:val="1003"/>
        </w:numPr>
        <w:pStyle w:val="Compact"/>
      </w:pPr>
      <w:r>
        <w:t xml:space="preserve">Operational overhead expenses.</w:t>
      </w:r>
    </w:p>
    <w:p>
      <w:pPr>
        <w:pStyle w:val="FirstParagraph"/>
      </w:pPr>
      <w:r>
        <w:t xml:space="preserve">This data serves as the reference point for measuring future changes.</w:t>
      </w:r>
    </w:p>
    <w:bookmarkEnd w:id="27"/>
    <w:bookmarkStart w:id="28" w:name="phase-2-intervention-weeks-5-20"/>
    <w:p>
      <w:pPr>
        <w:pStyle w:val="Heading3"/>
      </w:pPr>
      <w:r>
        <w:t xml:space="preserve">4.2 Phase 2: Intervention (Weeks 5-20)</w:t>
      </w:r>
    </w:p>
    <w:p>
      <w:pPr>
        <w:pStyle w:val="FirstParagraph"/>
      </w:pPr>
      <w:r>
        <w:rPr>
          <w:bCs/>
          <w:b/>
        </w:rPr>
        <w:t xml:space="preserve">Treatment Group:</w:t>
      </w:r>
      <w:r>
        <w:t xml:space="preserve"> </w:t>
      </w:r>
      <w:r>
        <w:t xml:space="preserve">Each SME in this group will be paired with a dedicated Business Consultant. The consultant will implement a customized strategy focusing on process optimization, digital marketing integration, and financial restructuring. The consultant will hold weekly strategy sessions and provide bi-weekly progress reports.</w:t>
      </w:r>
    </w:p>
    <w:p>
      <w:pPr>
        <w:pStyle w:val="BodyText"/>
      </w:pPr>
      <w:r>
        <w:rPr>
          <w:bCs/>
          <w:b/>
        </w:rPr>
        <w:t xml:space="preserve">Control Group:</w:t>
      </w:r>
      <w:r>
        <w:t xml:space="preserve"> </w:t>
      </w:r>
      <w:r>
        <w:t xml:space="preserve">These SMEs will operate as usual. They will be asked to maintain their current operational procedures and will not receive external advisory services. However, they will be monitored to ensure no other major external changes occur that could skew results.</w:t>
      </w:r>
    </w:p>
    <w:bookmarkEnd w:id="28"/>
    <w:bookmarkStart w:id="29" w:name="X1f1a59a716a30a58448e396e6353c97e6d8422f"/>
    <w:p>
      <w:pPr>
        <w:pStyle w:val="Heading3"/>
      </w:pPr>
      <w:r>
        <w:t xml:space="preserve">4.3 Phase 3: Data Collection and Monitoring (Ongoing)</w:t>
      </w:r>
    </w:p>
    <w:p>
      <w:pPr>
        <w:pStyle w:val="FirstParagraph"/>
      </w:pPr>
      <w:r>
        <w:t xml:space="preserve">Throughout the intervention phase, data will be collected monthly. This includes financial statements, employee feedback surveys, and customer satisfaction scores. Special attention will be paid to how the Business Consultant adapts strategies to the local Kuwaiti market nuances, such as cultural business practices and regulatory compliance.</w:t>
      </w:r>
    </w:p>
    <w:bookmarkEnd w:id="29"/>
    <w:bookmarkEnd w:id="30"/>
    <w:bookmarkStart w:id="31" w:name="data-analysis"/>
    <w:p>
      <w:pPr>
        <w:pStyle w:val="Heading2"/>
      </w:pPr>
      <w:r>
        <w:t xml:space="preserve">5. Data Analysis</w:t>
      </w:r>
    </w:p>
    <w:p>
      <w:pPr>
        <w:pStyle w:val="FirstParagraph"/>
      </w:pPr>
      <w:r>
        <w:t xml:space="preserve">Upon completion of the 20-week intervention, data from both groups will be analyzed using statistical software. The primary analysis will involve a comparative t-test to determine if the differences in key performance indicators (KPIs) between the Treatment Group and the Control Group are statistically significant.</w:t>
      </w:r>
    </w:p>
    <w:p>
      <w:pPr>
        <w:pStyle w:val="BodyText"/>
      </w:pPr>
      <w:r>
        <w:t xml:space="preserve">Secondary analysis will include qualitative assessments based on interviews with business owners in Kuwait City to understand the perceived value of the Business Consultant beyond raw numbers.</w:t>
      </w:r>
    </w:p>
    <w:bookmarkEnd w:id="31"/>
    <w:bookmarkStart w:id="32" w:name="ethical-considerations-and-compliance"/>
    <w:p>
      <w:pPr>
        <w:pStyle w:val="Heading2"/>
      </w:pPr>
      <w:r>
        <w:t xml:space="preserve">6. Ethical Considerations and Compliance</w:t>
      </w:r>
    </w:p>
    <w:p>
      <w:pPr>
        <w:pStyle w:val="FirstParagraph"/>
      </w:pPr>
      <w:r>
        <w:t xml:space="preserve">This Experiment Protocol adheres to the highest ethical standards. All participating SMEs in Kuwait City will provide informed consent before joining the study. Confidentiality of all business data is guaranteed in accordance with Kuwaiti commercial laws and data protection regulations. Participants have the right to withdraw from the experiment at any time without penalty.</w:t>
      </w:r>
    </w:p>
    <w:bookmarkEnd w:id="32"/>
    <w:bookmarkStart w:id="33" w:name="expected-outcomes"/>
    <w:p>
      <w:pPr>
        <w:pStyle w:val="Heading2"/>
      </w:pPr>
      <w:r>
        <w:t xml:space="preserve">7. Expected Outcomes</w:t>
      </w:r>
    </w:p>
    <w:p>
      <w:pPr>
        <w:pStyle w:val="FirstParagraph"/>
      </w:pPr>
      <w:r>
        <w:t xml:space="preserve">It is hypothesized that SMEs in the Treatment Group, guided by a Business Consultant, will demonstrate a minimum 15% increase in operational efficiency and a 10% increase in net profit compared to the Control Group over the 20-week period. Furthermore, the study aims to produce a framework for effective consulting engagements tailored specifically to the Kuwait City market.</w:t>
      </w:r>
    </w:p>
    <w:bookmarkEnd w:id="33"/>
    <w:bookmarkStart w:id="34" w:name="conclusion"/>
    <w:p>
      <w:pPr>
        <w:pStyle w:val="Heading2"/>
      </w:pPr>
      <w:r>
        <w:t xml:space="preserve">8. Conclusion</w:t>
      </w:r>
    </w:p>
    <w:p>
      <w:pPr>
        <w:pStyle w:val="FirstParagraph"/>
      </w:pPr>
      <w:r>
        <w:t xml:space="preserve">This Experiment Protocol provides a structured approach to evaluating the efficacy of Business Consultant services in Kuwait City. By rigorously controlling variables and focusing on measurable outcomes, this study will contribute valuable insights to the local business community, helping entrepreneurs make informed decisions about leveraging external expertise for growth.</w:t>
      </w:r>
    </w:p>
    <w:bookmarkEnd w:id="34"/>
    <w:p>
      <w:pPr>
        <w:pStyle w:val="BodyText"/>
      </w:pPr>
      <w:r>
        <w:t xml:space="preserve">End of Document. This protocol is subject to review and approval by the relevant oversight committee before implementation.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Kuwait City</dc:title>
  <dc:creator/>
  <dc:language>en</dc:language>
  <cp:keywords/>
  <dcterms:created xsi:type="dcterms:W3CDTF">2026-10-10T07:23:46Z</dcterms:created>
  <dcterms:modified xsi:type="dcterms:W3CDTF">2026-10-10T07:23:46Z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