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291b8429468195118046955572d5fcaffab84a8"/>
    <w:p>
      <w:pPr>
        <w:pStyle w:val="Heading1"/>
      </w:pPr>
      <w:r>
        <w:t xml:space="preserve">Experiment Protocol: Business Consultant Efficacy in Malaysia Kuala Lumpur</w:t>
      </w:r>
    </w:p>
    <w:p>
      <w:pPr>
        <w:pStyle w:val="FirstParagraph"/>
      </w:pPr>
      <w:r>
        <w:rPr>
          <w:bCs/>
          <w:b/>
        </w:rPr>
        <w:t xml:space="preserve">Document ID:</w:t>
      </w:r>
      <w:r>
        <w:t xml:space="preserve"> </w:t>
      </w:r>
      <w:r>
        <w:t xml:space="preserve">EXP-BIZ-KL-2024-001</w:t>
      </w:r>
      <w:r>
        <w:br/>
      </w:r>
      <w:r>
        <w:rPr>
          <w:bCs/>
          <w:b/>
        </w:rPr>
        <w:t xml:space="preserve">Date:</w:t>
      </w:r>
      <w:r>
        <w:t xml:space="preserve"> </w:t>
      </w:r>
      <w:r>
        <w:t xml:space="preserve">October 26, 2024</w:t>
      </w:r>
      <w:r>
        <w:br/>
      </w:r>
      <w:r>
        <w:rPr>
          <w:bCs/>
          <w:b/>
        </w:rPr>
        <w:t xml:space="preserve">Location:</w:t>
      </w:r>
      <w:r>
        <w:t xml:space="preserve"> </w:t>
      </w:r>
      <w:r>
        <w:t xml:space="preserve">Kuala Lumpur, Malaysia</w:t>
      </w:r>
      <w:r>
        <w:br/>
      </w:r>
      <w:r>
        <w:rPr>
          <w:bCs/>
          <w:b/>
        </w:rPr>
        <w:t xml:space="preserve">Subject:</w:t>
      </w:r>
      <w:r>
        <w:t xml:space="preserve"> </w:t>
      </w:r>
      <w:r>
        <w:t xml:space="preserve">Business Consultant</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a Business Consultant on organizational performance within the dynamic economic landscape of Malaysia Kuala Lumpur. Kuala Lumpur serves as the financial and commercial hub of Malaysia, characterized by a diverse mix of multinational corporations, state-owned enterprises, and a vibrant startup ecosystem. The role of a Business Consultant in this region is critical for navigating regulatory complexities, optimizing operational efficiency, and driving strategic growth.</w:t>
      </w:r>
    </w:p>
    <w:p>
      <w:pPr>
        <w:pStyle w:val="BodyText"/>
      </w:pPr>
      <w:r>
        <w:t xml:space="preserve">The purpose of this experiment is to empirically measure the value proposition of engaging a Business Consultant compared to internal management strategies. By isolating variables within a controlled environment in Kuala Lumpur, this protocol aims to provide data-driven insights into how external expertise influences key performance indicators (KPIs) such as revenue growth, cost reduction, and employee productivity.</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quantify the direct impact of a Business Consultant on operational efficiency in Kuala Lumpur-based firms.</w:t>
      </w:r>
    </w:p>
    <w:p>
      <w:pPr>
        <w:numPr>
          <w:ilvl w:val="0"/>
          <w:numId w:val="1001"/>
        </w:numPr>
        <w:pStyle w:val="Compact"/>
      </w:pPr>
      <w:r>
        <w:t xml:space="preserve">To evaluate the effectiveness of strategic recommendations provided by a Business Consultant in the Malaysian market context.</w:t>
      </w:r>
    </w:p>
    <w:p>
      <w:pPr>
        <w:numPr>
          <w:ilvl w:val="0"/>
          <w:numId w:val="1001"/>
        </w:numPr>
        <w:pStyle w:val="Compact"/>
      </w:pPr>
      <w:r>
        <w:t xml:space="preserve">To assess the return on investment (ROI) associated with hiring a Business Consultant over a six-month period.</w:t>
      </w:r>
    </w:p>
    <w:p>
      <w:pPr>
        <w:numPr>
          <w:ilvl w:val="0"/>
          <w:numId w:val="1001"/>
        </w:numPr>
        <w:pStyle w:val="Compact"/>
      </w:pPr>
      <w:r>
        <w:t xml:space="preserve">To identify specific competencies of a Business Consultant that correlate with successful outcomes in Malaysia Kuala Lumpur.</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Participating organizations in Kuala Lumpur will be randomly assigned to either the Treatment Group or the Control Group. The Treatment Group will engage a qualified Business Consultant for a defined period, while the Control Group will rely solely on internal management resources.</w:t>
      </w:r>
    </w:p>
    <w:bookmarkEnd w:id="23"/>
    <w:bookmarkStart w:id="24" w:name="participants"/>
    <w:p>
      <w:pPr>
        <w:pStyle w:val="Heading3"/>
      </w:pPr>
      <w:r>
        <w:t xml:space="preserve">3.2 Participants</w:t>
      </w:r>
    </w:p>
    <w:p>
      <w:pPr>
        <w:pStyle w:val="FirstParagraph"/>
      </w:pPr>
      <w:r>
        <w:t xml:space="preserve">The study will recruit 40 mid-sized enterprises located in Kuala Lumpur, Malaysia. Participants must meet the following criteria:</w:t>
      </w:r>
    </w:p>
    <w:p>
      <w:pPr>
        <w:numPr>
          <w:ilvl w:val="0"/>
          <w:numId w:val="1002"/>
        </w:numPr>
        <w:pStyle w:val="Compact"/>
      </w:pPr>
      <w:r>
        <w:t xml:space="preserve">Registered and operating in Kuala Lumpur for at least three years.</w:t>
      </w:r>
    </w:p>
    <w:p>
      <w:pPr>
        <w:numPr>
          <w:ilvl w:val="0"/>
          <w:numId w:val="1002"/>
        </w:numPr>
        <w:pStyle w:val="Compact"/>
      </w:pPr>
      <w:r>
        <w:t xml:space="preserve">Employing between 50 and 200 staff members.</w:t>
      </w:r>
    </w:p>
    <w:p>
      <w:pPr>
        <w:numPr>
          <w:ilvl w:val="0"/>
          <w:numId w:val="1002"/>
        </w:numPr>
        <w:pStyle w:val="Compact"/>
      </w:pPr>
      <w:r>
        <w:t xml:space="preserve">Operating in sectors such as finance, technology, or manufacturing.</w:t>
      </w:r>
    </w:p>
    <w:p>
      <w:pPr>
        <w:numPr>
          <w:ilvl w:val="0"/>
          <w:numId w:val="1002"/>
        </w:numPr>
        <w:pStyle w:val="Compact"/>
      </w:pPr>
      <w:r>
        <w:t xml:space="preserve">Willing to provide access to relevant performance data.</w:t>
      </w:r>
    </w:p>
    <w:bookmarkEnd w:id="24"/>
    <w:bookmarkStart w:id="25" w:name="intervention"/>
    <w:p>
      <w:pPr>
        <w:pStyle w:val="Heading3"/>
      </w:pPr>
      <w:r>
        <w:t xml:space="preserve">3.3 Intervention</w:t>
      </w:r>
    </w:p>
    <w:p>
      <w:pPr>
        <w:pStyle w:val="FirstParagraph"/>
      </w:pPr>
      <w:r>
        <w:t xml:space="preserve">In the Treatment Group, a Business Consultant will be assigned to each organization. The consultant will conduct a comprehensive diagnostic assessment, develop a strategic action plan, and oversee implementation. The intervention will focus on process optimization, market expansion strategies, and leadership development tailored to the Malaysian business environment.</w:t>
      </w:r>
    </w:p>
    <w:bookmarkEnd w:id="25"/>
    <w:bookmarkEnd w:id="26"/>
    <w:bookmarkStart w:id="27" w:name="data-collection"/>
    <w:p>
      <w:pPr>
        <w:pStyle w:val="Heading2"/>
      </w:pPr>
      <w:r>
        <w:t xml:space="preserve">4. Data Collection</w:t>
      </w:r>
    </w:p>
    <w:p>
      <w:pPr>
        <w:pStyle w:val="FirstParagraph"/>
      </w:pPr>
      <w:r>
        <w:t xml:space="preserve">Data will be collected at three intervals: baseline (pre-intervention), mid-point (three months), and post-intervention (six months). The following metrics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Revenue Growth</w:t>
            </w:r>
          </w:p>
        </w:tc>
        <w:tc>
          <w:tcPr/>
          <w:p>
            <w:pPr>
              <w:pStyle w:val="Compact"/>
              <w:jc w:val="left"/>
            </w:pPr>
            <w:r>
              <w:t xml:space="preserve">Percentage increase in monthly revenue.</w:t>
            </w:r>
          </w:p>
        </w:tc>
        <w:tc>
          <w:tcPr/>
          <w:p>
            <w:pPr>
              <w:pStyle w:val="Compact"/>
              <w:jc w:val="left"/>
            </w:pPr>
            <w:r>
              <w:t xml:space="preserve">Financial Statements</w:t>
            </w:r>
          </w:p>
        </w:tc>
      </w:tr>
      <w:tr>
        <w:tc>
          <w:tcPr/>
          <w:p>
            <w:pPr>
              <w:pStyle w:val="Compact"/>
              <w:jc w:val="left"/>
            </w:pPr>
            <w:r>
              <w:t xml:space="preserve">Operational Costs</w:t>
            </w:r>
          </w:p>
        </w:tc>
        <w:tc>
          <w:tcPr/>
          <w:p>
            <w:pPr>
              <w:pStyle w:val="Compact"/>
              <w:jc w:val="left"/>
            </w:pPr>
            <w:r>
              <w:t xml:space="preserve">Reduction in overhead and operational expenses.</w:t>
            </w:r>
          </w:p>
        </w:tc>
        <w:tc>
          <w:tcPr/>
          <w:p>
            <w:pPr>
              <w:pStyle w:val="Compact"/>
              <w:jc w:val="left"/>
            </w:pPr>
            <w:r>
              <w:t xml:space="preserve">Expense Reports</w:t>
            </w:r>
          </w:p>
        </w:tc>
      </w:tr>
      <w:tr>
        <w:tc>
          <w:tcPr/>
          <w:p>
            <w:pPr>
              <w:pStyle w:val="Compact"/>
              <w:jc w:val="left"/>
            </w:pPr>
            <w:r>
              <w:t xml:space="preserve">Employee Productivity</w:t>
            </w:r>
          </w:p>
        </w:tc>
        <w:tc>
          <w:tcPr/>
          <w:p>
            <w:pPr>
              <w:pStyle w:val="Compact"/>
              <w:jc w:val="left"/>
            </w:pPr>
            <w:r>
              <w:t xml:space="preserve">Output per employee per month.</w:t>
            </w:r>
          </w:p>
        </w:tc>
        <w:tc>
          <w:tcPr/>
          <w:p>
            <w:pPr>
              <w:pStyle w:val="Compact"/>
              <w:jc w:val="left"/>
            </w:pPr>
            <w:r>
              <w:t xml:space="preserve">HR Performance Metrics</w:t>
            </w:r>
          </w:p>
        </w:tc>
      </w:tr>
      <w:tr>
        <w:tc>
          <w:tcPr/>
          <w:p>
            <w:pPr>
              <w:pStyle w:val="Compact"/>
              <w:jc w:val="left"/>
            </w:pPr>
            <w:r>
              <w:t xml:space="preserve">Client Satisfaction</w:t>
            </w:r>
          </w:p>
        </w:tc>
        <w:tc>
          <w:tcPr/>
          <w:p>
            <w:pPr>
              <w:pStyle w:val="Compact"/>
              <w:jc w:val="left"/>
            </w:pPr>
            <w:r>
              <w:t xml:space="preserve">Net Promoter Score (NPS) from clients.</w:t>
            </w:r>
          </w:p>
        </w:tc>
        <w:tc>
          <w:tcPr/>
          <w:p>
            <w:pPr>
              <w:pStyle w:val="Compact"/>
              <w:jc w:val="left"/>
            </w:pPr>
            <w:r>
              <w:t xml:space="preserve">Surveys</w:t>
            </w:r>
          </w:p>
        </w:tc>
      </w:tr>
    </w:tbl>
    <w:bookmarkEnd w:id="27"/>
    <w:bookmarkStart w:id="28" w:name="ethical-considerations"/>
    <w:p>
      <w:pPr>
        <w:pStyle w:val="Heading2"/>
      </w:pPr>
      <w:r>
        <w:t xml:space="preserve">5. Ethical Considerations</w:t>
      </w:r>
    </w:p>
    <w:p>
      <w:pPr>
        <w:pStyle w:val="FirstParagraph"/>
      </w:pPr>
      <w:r>
        <w:t xml:space="preserve">This Experiment Protocol adheres to ethical standards for business research in Malaysia. All participating organizations will provide informed consent, and data confidentiality will be strictly maintained in accordance with the Personal Data Protection Act (PDPA) of Malaysia. Participants have the right to withdraw from the study at any time without penalty.</w:t>
      </w:r>
    </w:p>
    <w:bookmarkEnd w:id="28"/>
    <w:bookmarkStart w:id="29" w:name="timeline"/>
    <w:p>
      <w:pPr>
        <w:pStyle w:val="Heading2"/>
      </w:pPr>
      <w:r>
        <w:t xml:space="preserve">6. Timeline</w:t>
      </w:r>
    </w:p>
    <w:p>
      <w:pPr>
        <w:numPr>
          <w:ilvl w:val="0"/>
          <w:numId w:val="1003"/>
        </w:numPr>
        <w:pStyle w:val="Compact"/>
      </w:pPr>
      <w:r>
        <w:rPr>
          <w:bCs/>
          <w:b/>
        </w:rPr>
        <w:t xml:space="preserve">Month 1:</w:t>
      </w:r>
      <w:r>
        <w:t xml:space="preserve"> </w:t>
      </w:r>
      <w:r>
        <w:t xml:space="preserve">Recruitment and baseline data collection.</w:t>
      </w:r>
    </w:p>
    <w:p>
      <w:pPr>
        <w:numPr>
          <w:ilvl w:val="0"/>
          <w:numId w:val="1003"/>
        </w:numPr>
        <w:pStyle w:val="Compact"/>
      </w:pPr>
      <w:r>
        <w:rPr>
          <w:bCs/>
          <w:b/>
        </w:rPr>
        <w:t xml:space="preserve">Months 2-5:</w:t>
      </w:r>
      <w:r>
        <w:t xml:space="preserve"> </w:t>
      </w:r>
      <w:r>
        <w:t xml:space="preserve">Intervention period with Business Consultant engagement.</w:t>
      </w:r>
    </w:p>
    <w:p>
      <w:pPr>
        <w:numPr>
          <w:ilvl w:val="0"/>
          <w:numId w:val="1003"/>
        </w:numPr>
        <w:pStyle w:val="Compact"/>
      </w:pPr>
      <w:r>
        <w:rPr>
          <w:bCs/>
          <w:b/>
        </w:rPr>
        <w:t xml:space="preserve">Month 6:</w:t>
      </w:r>
      <w:r>
        <w:t xml:space="preserve"> </w:t>
      </w:r>
      <w:r>
        <w:t xml:space="preserve">Post-intervention data collection and analysis.</w:t>
      </w:r>
    </w:p>
    <w:p>
      <w:pPr>
        <w:numPr>
          <w:ilvl w:val="0"/>
          <w:numId w:val="1003"/>
        </w:numPr>
        <w:pStyle w:val="Compact"/>
      </w:pPr>
      <w:r>
        <w:rPr>
          <w:bCs/>
          <w:b/>
        </w:rPr>
        <w:t xml:space="preserve">Month 7:</w:t>
      </w:r>
      <w:r>
        <w:t xml:space="preserve"> </w:t>
      </w:r>
      <w:r>
        <w:t xml:space="preserve">Reporting and dissemination of findings.</w:t>
      </w:r>
    </w:p>
    <w:bookmarkEnd w:id="29"/>
    <w:bookmarkStart w:id="30" w:name="expected-outcomes"/>
    <w:p>
      <w:pPr>
        <w:pStyle w:val="Heading2"/>
      </w:pPr>
      <w:r>
        <w:t xml:space="preserve">7. Expected Outcomes</w:t>
      </w:r>
    </w:p>
    <w:p>
      <w:pPr>
        <w:pStyle w:val="FirstParagraph"/>
      </w:pPr>
      <w:r>
        <w:t xml:space="preserve">It is hypothesized that organizations in the Treatment Group, which engage a Business Consultant, will demonstrate statistically significant improvements in revenue growth, cost efficiency, and employee productivity compared to the Control Group. This Experiment Protocol aims to validate the strategic value of a Business Consultant in the competitive environment of Malaysia Kuala Lumpur, providing actionable insights for future business decisions.</w:t>
      </w:r>
    </w:p>
    <w:bookmarkEnd w:id="30"/>
    <w:bookmarkStart w:id="31" w:name="conclusion"/>
    <w:p>
      <w:pPr>
        <w:pStyle w:val="Heading2"/>
      </w:pPr>
      <w:r>
        <w:t xml:space="preserve">8. Conclusion</w:t>
      </w:r>
    </w:p>
    <w:p>
      <w:pPr>
        <w:pStyle w:val="FirstParagraph"/>
      </w:pPr>
      <w:r>
        <w:t xml:space="preserve">This Experiment Protocol provides a structured approach to evaluating the impact of a Business Consultant in Malaysia Kuala Lumpur. By following this methodology, stakeholders can gain a clear understanding of how external consulting expertise contributes to organizational success in one of Southeast Asia's most dynamic business hubs.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Malaysia Kuala Lumpur</dc:title>
  <dc:creator/>
  <dc:language>en</dc:language>
  <cp:keywords/>
  <dcterms:created xsi:type="dcterms:W3CDTF">2026-10-10T14:24:35Z</dcterms:created>
  <dcterms:modified xsi:type="dcterms:W3CDTF">2026-10-10T14:24:35Z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