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Mexico</w:t>
      </w:r>
      <w:r>
        <w:t xml:space="preserve"> </w:t>
      </w:r>
      <w:r>
        <w:t xml:space="preserve">City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Quantitative Analysis of Business Consultant Impact on SME Growth in Mexico City</w:t>
      </w:r>
    </w:p>
    <w:p>
      <w:pPr>
        <w:pStyle w:val="BodyText"/>
      </w:pPr>
      <w:r>
        <w:rPr>
          <w:bCs/>
          <w:b/>
        </w:rPr>
        <w:t xml:space="preserve">Location:</w:t>
      </w:r>
      <w:r>
        <w:t xml:space="preserve"> </w:t>
      </w:r>
      <w:r>
        <w:t xml:space="preserve">Mexico, Mexico City (Ciudad de México)</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p>
      <w:pPr>
        <w:pStyle w:val="BodyText"/>
      </w:pPr>
      <w:r>
        <w:t xml:space="preserve">1. Introduction and Background</w:t>
      </w:r>
    </w:p>
    <w:p>
      <w:pPr>
        <w:pStyle w:val="BodyText"/>
      </w:pPr>
      <w:r>
        <w:t xml:space="preserve">The economic landscape of Mexico City is characterized by a dense concentration of Small and Medium-sized Enterprises (SMEs), which contribute significantly to the local GDP and employment rates. Despite this potential, many SMEs in the capital struggle with scalability, regulatory compliance, and digital transformation. The role of the Business Consultant is theoretically pivotal in bridging the gap between current operational inefficiencies and optimal performance. However, empirical data regarding the specific efficacy of consulting interventions within the unique cultural and regulatory context of Mexico City remains fragmented.</w:t>
      </w:r>
    </w:p>
    <w:p>
      <w:pPr>
        <w:pStyle w:val="BodyText"/>
      </w:pPr>
      <w:r>
        <w:t xml:space="preserve">This Experiment Protocol outlines a rigorous methodology to evaluate the tangible impact of professional Business Consultant engagement on SME performance metrics. The study focuses specifically on enterprises operating within the metropolitan area of Mexico City, taking into account local variables such as the complexity of the "Ley de Sociedades Mercantiles," local tax regulations (SAT), and the specific consumer behavior patterns of the CDMX market.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statistical significance of revenue growth in SMEs that engage a certified Business Consultant versus those that do not over a six-month period.</w:t>
      </w:r>
    </w:p>
    <w:p>
      <w:pPr>
        <w:numPr>
          <w:ilvl w:val="0"/>
          <w:numId w:val="1001"/>
        </w:numPr>
        <w:pStyle w:val="Compact"/>
      </w:pPr>
      <w:r>
        <w:t xml:space="preserve">To assess the improvement in operational efficiency, specifically regarding supply chain logistics within the congested infrastructure of Mexico City.</w:t>
      </w:r>
    </w:p>
    <w:p>
      <w:pPr>
        <w:numPr>
          <w:ilvl w:val="0"/>
          <w:numId w:val="1001"/>
        </w:numPr>
        <w:pStyle w:val="Compact"/>
      </w:pPr>
      <w:r>
        <w:t xml:space="preserve">To evaluate the impact of consulting on regulatory compliance and risk mitigation specific to Mexican federal and local laws.</w:t>
      </w:r>
    </w:p>
    <w:p>
      <w:pPr>
        <w:numPr>
          <w:ilvl w:val="0"/>
          <w:numId w:val="1001"/>
        </w:numPr>
        <w:pStyle w:val="Compact"/>
      </w:pPr>
      <w:r>
        <w:t xml:space="preserve">To analyze the correlation between consultant-client cultural alignment and the successful implementation of strategic recommendations.</w:t>
      </w:r>
    </w:p>
    <w:p>
      <w:pPr>
        <w:pStyle w:val="FirstParagraph"/>
      </w:pPr>
      <w:r>
        <w:t xml:space="preserve">3. Methodology</w:t>
      </w:r>
    </w:p>
    <w:p>
      <w:pPr>
        <w:pStyle w:val="BodyText"/>
      </w:pPr>
      <w:r>
        <w:t xml:space="preserve">This study will employ a randomized controlled trial (RCT) design, widely regarded as the gold standard for causal inference in social and economic sciences.</w:t>
      </w:r>
    </w:p>
    <w:bookmarkStart w:id="21" w:name="study-population"/>
    <w:p>
      <w:pPr>
        <w:pStyle w:val="Heading3"/>
      </w:pPr>
      <w:r>
        <w:t xml:space="preserve">3.1 Study Population</w:t>
      </w:r>
    </w:p>
    <w:p>
      <w:pPr>
        <w:pStyle w:val="FirstParagraph"/>
      </w:pPr>
      <w:r>
        <w:t xml:space="preserve">The target population consists of SMEs registered in the "Padrón de Contribuyentes" of Mexico City, specifically within the commercial zones of Polanco, Roma Norte, Condesa, and Santa Fe. Eligibility criteria include:</w:t>
      </w:r>
    </w:p>
    <w:p>
      <w:pPr>
        <w:numPr>
          <w:ilvl w:val="0"/>
          <w:numId w:val="1002"/>
        </w:numPr>
        <w:pStyle w:val="Compact"/>
      </w:pPr>
      <w:r>
        <w:t xml:space="preserve">Established between 3 and 10 years ago.</w:t>
      </w:r>
    </w:p>
    <w:p>
      <w:pPr>
        <w:numPr>
          <w:ilvl w:val="0"/>
          <w:numId w:val="1002"/>
        </w:numPr>
        <w:pStyle w:val="Compact"/>
      </w:pPr>
      <w:r>
        <w:t xml:space="preserve">Annual revenue between 5 and 50 million MXN.</w:t>
      </w:r>
    </w:p>
    <w:p>
      <w:pPr>
        <w:numPr>
          <w:ilvl w:val="0"/>
          <w:numId w:val="1002"/>
        </w:numPr>
        <w:pStyle w:val="Compact"/>
      </w:pPr>
      <w:r>
        <w:t xml:space="preserve">Minimum of 10 full-time employees.</w:t>
      </w:r>
    </w:p>
    <w:p>
      <w:pPr>
        <w:numPr>
          <w:ilvl w:val="0"/>
          <w:numId w:val="1002"/>
        </w:numPr>
        <w:pStyle w:val="Compact"/>
      </w:pPr>
      <w:r>
        <w:t xml:space="preserve">No prior engagement with a strategic Business Consultant in the last 24 months.</w:t>
      </w:r>
    </w:p>
    <w:bookmarkEnd w:id="21"/>
    <w:bookmarkStart w:id="22" w:name="group-allocation"/>
    <w:p>
      <w:pPr>
        <w:pStyle w:val="Heading3"/>
      </w:pPr>
      <w:r>
        <w:t xml:space="preserve">3.2 Group Allocation</w:t>
      </w:r>
    </w:p>
    <w:p>
      <w:pPr>
        <w:pStyle w:val="FirstParagraph"/>
      </w:pPr>
      <w:r>
        <w:t xml:space="preserve">A total of 100 qualifying SMEs will be recruited and randomly assigned to two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Size</w:t>
            </w:r>
          </w:p>
        </w:tc>
        <w:tc>
          <w:tcPr/>
          <w:p>
            <w:pPr>
              <w:pStyle w:val="Compact"/>
              <w:jc w:val="left"/>
            </w:pPr>
            <w:r>
              <w:t xml:space="preserve">Intervention</w:t>
            </w:r>
          </w:p>
        </w:tc>
      </w:tr>
      <w:tr>
        <w:tc>
          <w:tcPr/>
          <w:p>
            <w:pPr>
              <w:pStyle w:val="Compact"/>
              <w:jc w:val="left"/>
            </w:pPr>
            <w:r>
              <w:t xml:space="preserve">Control Group</w:t>
            </w:r>
          </w:p>
        </w:tc>
        <w:tc>
          <w:tcPr/>
          <w:p>
            <w:pPr>
              <w:pStyle w:val="Compact"/>
              <w:jc w:val="left"/>
            </w:pPr>
            <w:r>
              <w:t xml:space="preserve">50 SMEs</w:t>
            </w:r>
          </w:p>
        </w:tc>
        <w:tc>
          <w:tcPr/>
          <w:p>
            <w:pPr>
              <w:pStyle w:val="Compact"/>
              <w:jc w:val="left"/>
            </w:pPr>
            <w:r>
              <w:t xml:space="preserve">Business as usual. No external consulting intervention.</w:t>
            </w:r>
          </w:p>
        </w:tc>
      </w:tr>
      <w:tr>
        <w:tc>
          <w:tcPr/>
          <w:p>
            <w:pPr>
              <w:pStyle w:val="Compact"/>
              <w:jc w:val="left"/>
            </w:pPr>
            <w:r>
              <w:t xml:space="preserve">Treatment Group</w:t>
            </w:r>
          </w:p>
        </w:tc>
        <w:tc>
          <w:tcPr/>
          <w:p>
            <w:pPr>
              <w:pStyle w:val="Compact"/>
              <w:jc w:val="left"/>
            </w:pPr>
            <w:r>
              <w:t xml:space="preserve">50 SMEs</w:t>
            </w:r>
          </w:p>
        </w:tc>
        <w:tc>
          <w:tcPr/>
          <w:p>
            <w:pPr>
              <w:pStyle w:val="Compact"/>
              <w:jc w:val="left"/>
            </w:pPr>
            <w:r>
              <w:t xml:space="preserve">Engagement with a vetted Business Consultant for a 6-month strategic engagement.</w:t>
            </w:r>
          </w:p>
        </w:tc>
      </w:tr>
    </w:tbl>
    <w:bookmarkEnd w:id="22"/>
    <w:bookmarkStart w:id="23" w:name="the-consultant-intervention"/>
    <w:p>
      <w:pPr>
        <w:pStyle w:val="Heading3"/>
      </w:pPr>
      <w:r>
        <w:t xml:space="preserve">3.3 The Consultant Intervention</w:t>
      </w:r>
    </w:p>
    <w:p>
      <w:pPr>
        <w:pStyle w:val="FirstParagraph"/>
      </w:pPr>
      <w:r>
        <w:t xml:space="preserve">For the Treatment Group, the Business Consultant will provide a standardized package of services tailored to the Mexico City market. This includes:</w:t>
      </w:r>
    </w:p>
    <w:p>
      <w:pPr>
        <w:numPr>
          <w:ilvl w:val="0"/>
          <w:numId w:val="1003"/>
        </w:numPr>
        <w:pStyle w:val="Compact"/>
      </w:pPr>
      <w:r>
        <w:rPr>
          <w:bCs/>
          <w:b/>
        </w:rPr>
        <w:t xml:space="preserve">Strategic Planning:</w:t>
      </w:r>
      <w:r>
        <w:t xml:space="preserve"> </w:t>
      </w:r>
      <w:r>
        <w:t xml:space="preserve">Development of a 12-month roadmap aligned with local market trends.</w:t>
      </w:r>
    </w:p>
    <w:p>
      <w:pPr>
        <w:numPr>
          <w:ilvl w:val="0"/>
          <w:numId w:val="1003"/>
        </w:numPr>
        <w:pStyle w:val="Compact"/>
      </w:pPr>
      <w:r>
        <w:rPr>
          <w:bCs/>
          <w:b/>
        </w:rPr>
        <w:t xml:space="preserve">Process Optimization:</w:t>
      </w:r>
      <w:r>
        <w:t xml:space="preserve"> </w:t>
      </w:r>
      <w:r>
        <w:t xml:space="preserve">Lean management implementation to reduce waste.</w:t>
      </w:r>
    </w:p>
    <w:p>
      <w:pPr>
        <w:numPr>
          <w:ilvl w:val="0"/>
          <w:numId w:val="1003"/>
        </w:numPr>
        <w:pStyle w:val="Compact"/>
      </w:pPr>
      <w:r>
        <w:rPr>
          <w:bCs/>
          <w:b/>
        </w:rPr>
        <w:t xml:space="preserve">Regulatory Audit:</w:t>
      </w:r>
      <w:r>
        <w:t xml:space="preserve"> </w:t>
      </w:r>
      <w:r>
        <w:t xml:space="preserve">Review of compliance with CDMX labor laws and federal tax obligations.</w:t>
      </w:r>
    </w:p>
    <w:p>
      <w:pPr>
        <w:numPr>
          <w:ilvl w:val="0"/>
          <w:numId w:val="1003"/>
        </w:numPr>
        <w:pStyle w:val="Compact"/>
      </w:pPr>
      <w:r>
        <w:rPr>
          <w:bCs/>
          <w:b/>
        </w:rPr>
        <w:t xml:space="preserve">Digital Integration:</w:t>
      </w:r>
      <w:r>
        <w:t xml:space="preserve"> </w:t>
      </w:r>
      <w:r>
        <w:t xml:space="preserve">Implementation of CRM and ERP systems suitable for the local tech ecosystem.</w:t>
      </w:r>
    </w:p>
    <w:bookmarkEnd w:id="23"/>
    <w:p>
      <w:pPr>
        <w:pStyle w:val="FirstParagraph"/>
      </w:pPr>
      <w:r>
        <w:t xml:space="preserve">4. Data Collection and Metrics</w:t>
      </w:r>
    </w:p>
    <w:p>
      <w:pPr>
        <w:pStyle w:val="BodyText"/>
      </w:pPr>
      <w:r>
        <w:t xml:space="preserve">Data will be collected at three intervals: Baseline (T0), Mid-point (T3), and Conclusion (T6). Key Performance Indicators (KPIs) include:</w:t>
      </w:r>
    </w:p>
    <w:p>
      <w:pPr>
        <w:numPr>
          <w:ilvl w:val="0"/>
          <w:numId w:val="1004"/>
        </w:numPr>
        <w:pStyle w:val="Compact"/>
      </w:pPr>
      <w:r>
        <w:rPr>
          <w:bCs/>
          <w:b/>
        </w:rPr>
        <w:t xml:space="preserve">Financial Metrics:</w:t>
      </w:r>
      <w:r>
        <w:t xml:space="preserve"> </w:t>
      </w:r>
      <w:r>
        <w:t xml:space="preserve">Net profit margin, revenue growth rate, and cost reduction percentage.</w:t>
      </w:r>
    </w:p>
    <w:p>
      <w:pPr>
        <w:numPr>
          <w:ilvl w:val="0"/>
          <w:numId w:val="1004"/>
        </w:numPr>
        <w:pStyle w:val="Compact"/>
      </w:pPr>
      <w:r>
        <w:rPr>
          <w:bCs/>
          <w:b/>
        </w:rPr>
        <w:t xml:space="preserve">Operational Metrics:</w:t>
      </w:r>
      <w:r>
        <w:t xml:space="preserve"> </w:t>
      </w:r>
      <w:r>
        <w:t xml:space="preserve">Inventory turnover ratio and average order fulfillment time (critical due to CDMX traffic logistics).</w:t>
      </w:r>
    </w:p>
    <w:p>
      <w:pPr>
        <w:numPr>
          <w:ilvl w:val="0"/>
          <w:numId w:val="1004"/>
        </w:numPr>
        <w:pStyle w:val="Compact"/>
      </w:pPr>
      <w:r>
        <w:rPr>
          <w:bCs/>
          <w:b/>
        </w:rPr>
        <w:t xml:space="preserve">Compliance Metrics:</w:t>
      </w:r>
      <w:r>
        <w:t xml:space="preserve"> </w:t>
      </w:r>
      <w:r>
        <w:t xml:space="preserve">Number of regulatory infractions or tax penalties incurred.</w:t>
      </w:r>
    </w:p>
    <w:p>
      <w:pPr>
        <w:numPr>
          <w:ilvl w:val="0"/>
          <w:numId w:val="1004"/>
        </w:numPr>
        <w:pStyle w:val="Compact"/>
      </w:pPr>
      <w:r>
        <w:rPr>
          <w:bCs/>
          <w:b/>
        </w:rPr>
        <w:t xml:space="preserve">Qualitative Metrics:</w:t>
      </w:r>
      <w:r>
        <w:t xml:space="preserve"> </w:t>
      </w:r>
      <w:r>
        <w:t xml:space="preserve">Client satisfaction scores and employee retention rates.</w:t>
      </w:r>
    </w:p>
    <w:p>
      <w:pPr>
        <w:pStyle w:val="FirstParagraph"/>
      </w:pPr>
      <w:r>
        <w:t xml:space="preserve">Data will be sourced from official financial statements, SAT tax records (with consent), and structured interviews with business owners.</w:t>
      </w:r>
    </w:p>
    <w:p>
      <w:pPr>
        <w:pStyle w:val="BodyText"/>
      </w:pPr>
      <w:r>
        <w:t xml:space="preserve">5. Ethical Considerations and Compliance</w:t>
      </w:r>
    </w:p>
    <w:p>
      <w:pPr>
        <w:pStyle w:val="BodyText"/>
      </w:pPr>
      <w:r>
        <w:t xml:space="preserve">This experiment adheres to the ethical guidelines for research involving human subjects and commercial entities. All participating SMEs will sign informed consent agreements in Spanish, ensuring they understand the nature of the study. Data privacy will be strictly maintained in accordance with the "Ley Federal de Protección de Datos Personales en Posesión de los Particulares" (Federal Law on Protection of Personal Data Held by Private Parties).</w:t>
      </w:r>
    </w:p>
    <w:p>
      <w:pPr>
        <w:pStyle w:val="BodyText"/>
      </w:pPr>
      <w:r>
        <w:t xml:space="preserve">To avoid bias, the Business Consultants assigned to the Treatment Group will be blinded to the specific hypotheses being tested regarding financial outcomes, focusing solely on their professional deliverables.</w:t>
      </w:r>
    </w:p>
    <w:p>
      <w:pPr>
        <w:pStyle w:val="BodyText"/>
      </w:pPr>
      <w:r>
        <w:t xml:space="preserve">6. Timeline</w:t>
      </w:r>
    </w:p>
    <w:p>
      <w:pPr>
        <w:numPr>
          <w:ilvl w:val="0"/>
          <w:numId w:val="1005"/>
        </w:numPr>
        <w:pStyle w:val="Compact"/>
      </w:pPr>
      <w:r>
        <w:rPr>
          <w:bCs/>
          <w:b/>
        </w:rPr>
        <w:t xml:space="preserve">Month 1:</w:t>
      </w:r>
      <w:r>
        <w:t xml:space="preserve"> </w:t>
      </w:r>
      <w:r>
        <w:t xml:space="preserve">Recruitment of SMEs in Mexico City and baseline data collection.</w:t>
      </w:r>
    </w:p>
    <w:p>
      <w:pPr>
        <w:numPr>
          <w:ilvl w:val="0"/>
          <w:numId w:val="1005"/>
        </w:numPr>
        <w:pStyle w:val="Compact"/>
      </w:pPr>
      <w:r>
        <w:rPr>
          <w:bCs/>
          <w:b/>
        </w:rPr>
        <w:t xml:space="preserve">Month 2-7:</w:t>
      </w:r>
      <w:r>
        <w:t xml:space="preserve"> </w:t>
      </w:r>
      <w:r>
        <w:t xml:space="preserve">Implementation of the Business Consultant intervention for the Treatment Group.</w:t>
      </w:r>
    </w:p>
    <w:p>
      <w:pPr>
        <w:numPr>
          <w:ilvl w:val="0"/>
          <w:numId w:val="1005"/>
        </w:numPr>
        <w:pStyle w:val="Compact"/>
      </w:pPr>
      <w:r>
        <w:rPr>
          <w:bCs/>
          <w:b/>
        </w:rPr>
        <w:t xml:space="preserve">Month 4:</w:t>
      </w:r>
      <w:r>
        <w:t xml:space="preserve"> </w:t>
      </w:r>
      <w:r>
        <w:t xml:space="preserve">Mid-point data collection and preliminary analysis.</w:t>
      </w:r>
    </w:p>
    <w:p>
      <w:pPr>
        <w:numPr>
          <w:ilvl w:val="0"/>
          <w:numId w:val="1005"/>
        </w:numPr>
        <w:pStyle w:val="Compact"/>
      </w:pPr>
      <w:r>
        <w:rPr>
          <w:bCs/>
          <w:b/>
        </w:rPr>
        <w:t xml:space="preserve">Month 8:</w:t>
      </w:r>
      <w:r>
        <w:t xml:space="preserve"> </w:t>
      </w:r>
      <w:r>
        <w:t xml:space="preserve">Final data collection and conclusion of the experiment.</w:t>
      </w:r>
    </w:p>
    <w:p>
      <w:pPr>
        <w:numPr>
          <w:ilvl w:val="0"/>
          <w:numId w:val="1005"/>
        </w:numPr>
        <w:pStyle w:val="Compact"/>
      </w:pPr>
      <w:r>
        <w:rPr>
          <w:bCs/>
          <w:b/>
        </w:rPr>
        <w:t xml:space="preserve">Month 9:</w:t>
      </w:r>
      <w:r>
        <w:t xml:space="preserve"> </w:t>
      </w:r>
      <w:r>
        <w:t xml:space="preserve">Data analysis, reporting, and dissemination of findings.</w:t>
      </w:r>
    </w:p>
    <w:p>
      <w:pPr>
        <w:pStyle w:val="FirstParagraph"/>
      </w:pPr>
      <w:r>
        <w:t xml:space="preserve">7. Expected Outcomes</w:t>
      </w:r>
    </w:p>
    <w:p>
      <w:pPr>
        <w:pStyle w:val="BodyText"/>
      </w:pPr>
      <w:r>
        <w:t xml:space="preserve">It is hypothesized that SMEs in the Treatment Group will demonstrate a statistically significant improvement in net profit margins and operational efficiency compared to the Control Group. Furthermore, the study aims to provide a validated framework for how Business Consultants can best navigate the specific regulatory and cultural nuances of Mexico City to drive sustainable business growth.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Mexico City</dc:title>
  <dc:creator/>
  <dc:language>en</dc:language>
  <cp:keywords/>
  <dcterms:created xsi:type="dcterms:W3CDTF">2026-10-10T09:18:04Z</dcterms:created>
  <dcterms:modified xsi:type="dcterms:W3CDTF">2026-10-10T09:18:04Z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