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Morocco</w:t>
      </w:r>
      <w:r>
        <w:t xml:space="preserve"> </w:t>
      </w:r>
      <w:r>
        <w:t xml:space="preserve">Casablanca</w:t>
      </w:r>
    </w:p>
    <w:bookmarkStart w:id="29" w:name="X43dbdebc71fc220b888401074eb091cfcb1effa"/>
    <w:p>
      <w:pPr>
        <w:pStyle w:val="Heading1"/>
      </w:pPr>
      <w:r>
        <w:t xml:space="preserve">Experiment Protocol: Strategic Impact of Business Consultants on SME Growth in Morocco Casablanca</w:t>
      </w:r>
    </w:p>
    <w:p>
      <w:pPr>
        <w:pStyle w:val="FirstParagraph"/>
      </w:pPr>
      <w:r>
        <w:rPr>
          <w:bCs/>
          <w:b/>
        </w:rPr>
        <w:t xml:space="preserve">Protocol ID:</w:t>
      </w:r>
      <w:r>
        <w:t xml:space="preserve"> </w:t>
      </w:r>
      <w:r>
        <w:t xml:space="preserve">MC-BC-2024-EXP01</w:t>
      </w:r>
      <w:r>
        <w:br/>
      </w:r>
      <w:r>
        <w:rPr>
          <w:bCs/>
          <w:b/>
        </w:rPr>
        <w:t xml:space="preserve">Location:</w:t>
      </w:r>
      <w:r>
        <w:t xml:space="preserve"> </w:t>
      </w:r>
      <w:r>
        <w:t xml:space="preserve">Casablanca, Morocco (Greater Casablanca Region)</w:t>
      </w:r>
      <w:r>
        <w:br/>
      </w:r>
      <w:r>
        <w:rPr>
          <w:bCs/>
          <w:b/>
        </w:rPr>
        <w:t xml:space="preserve">Subject:</w:t>
      </w:r>
      <w:r>
        <w:t xml:space="preserve"> </w:t>
      </w:r>
      <w:r>
        <w:t xml:space="preserve">Business Consultant Intervention Efficacy</w:t>
      </w:r>
      <w:r>
        <w:br/>
      </w:r>
      <w:r>
        <w:rPr>
          <w:bCs/>
          <w:b/>
        </w:rPr>
        <w:t xml:space="preserve">Date:</w:t>
      </w:r>
      <w:r>
        <w:t xml:space="preserve"> </w:t>
      </w:r>
      <w:r>
        <w:t xml:space="preserve">October 2023</w:t>
      </w:r>
      <w:r>
        <w:br/>
      </w:r>
      <w:r>
        <w:rPr>
          <w:bCs/>
          <w:b/>
        </w:rPr>
        <w:t xml:space="preserve">Status:</w:t>
      </w:r>
      <w:r>
        <w:t xml:space="preserve"> </w:t>
      </w:r>
      <w:r>
        <w:t xml:space="preserve">Draft for Review</w:t>
      </w:r>
    </w:p>
    <w:bookmarkStart w:id="20" w:name="introduction-and-background"/>
    <w:p>
      <w:pPr>
        <w:pStyle w:val="Heading2"/>
      </w:pPr>
      <w:r>
        <w:t xml:space="preserve">1. Introduction and Background</w:t>
      </w:r>
    </w:p>
    <w:p>
      <w:pPr>
        <w:pStyle w:val="FirstParagraph"/>
      </w:pPr>
      <w:r>
        <w:t xml:space="preserve">The economic landscape of</w:t>
      </w:r>
      <w:r>
        <w:t xml:space="preserve"> </w:t>
      </w:r>
      <w:r>
        <w:rPr>
          <w:bCs/>
          <w:b/>
        </w:rPr>
        <w:t xml:space="preserve">Morocco Casablanca</w:t>
      </w:r>
      <w:r>
        <w:t xml:space="preserve"> </w:t>
      </w:r>
      <w:r>
        <w:t xml:space="preserve">is characterized by a dynamic mix of established industrial conglomerates and a burgeoning sector of Small and Medium-sized Enterprises (SMEs). As the financial and economic hub of the Kingdom, Casablanca faces unique challenges regarding market saturation, regulatory compliance, and digital transformation. In this context, the role of the</w:t>
      </w:r>
      <w:r>
        <w:t xml:space="preserve"> </w:t>
      </w:r>
      <w:r>
        <w:rPr>
          <w:bCs/>
          <w:b/>
        </w:rPr>
        <w:t xml:space="preserve">Business Consultant</w:t>
      </w:r>
      <w:r>
        <w:t xml:space="preserve"> </w:t>
      </w:r>
      <w:r>
        <w:t xml:space="preserve">has become increasingly pivotal. However, empirical data regarding the tangible return on investment (ROI) of consulting services within the specific cultural and economic context of Casablanca remains fragmented.</w:t>
      </w:r>
    </w:p>
    <w:p>
      <w:pPr>
        <w:pStyle w:val="BodyText"/>
      </w:pPr>
      <w:r>
        <w:t xml:space="preserve">This</w:t>
      </w:r>
      <w:r>
        <w:t xml:space="preserve"> </w:t>
      </w:r>
      <w:r>
        <w:rPr>
          <w:bCs/>
          <w:b/>
        </w:rPr>
        <w:t xml:space="preserve">Experiment Protocol</w:t>
      </w:r>
      <w:r>
        <w:t xml:space="preserve"> </w:t>
      </w:r>
      <w:r>
        <w:t xml:space="preserve">aims to rigorously evaluate the impact of structured consulting interventions on the operational efficiency and revenue growth of SMEs located in the Casablanca-Settat region. By isolating variables associated with the</w:t>
      </w:r>
      <w:r>
        <w:t xml:space="preserve"> </w:t>
      </w:r>
      <w:r>
        <w:rPr>
          <w:bCs/>
          <w:b/>
        </w:rPr>
        <w:t xml:space="preserve">Business Consultant</w:t>
      </w:r>
      <w:r>
        <w:t xml:space="preserve">'s methodology, this study seeks to determine whether external strategic guidance yields statistically significant improvements compared to organic growth strategies.</w:t>
      </w:r>
    </w:p>
    <w:bookmarkEnd w:id="20"/>
    <w:bookmarkStart w:id="21" w:name="objectives"/>
    <w:p>
      <w:pPr>
        <w:pStyle w:val="Heading2"/>
      </w:pPr>
      <w:r>
        <w:t xml:space="preserve">2. Objectives</w:t>
      </w:r>
    </w:p>
    <w:p>
      <w:pPr>
        <w:pStyle w:val="FirstParagraph"/>
      </w:pPr>
      <w:r>
        <w:t xml:space="preserve">The primary objective of this experiment is to quantify the value added by a</w:t>
      </w:r>
      <w:r>
        <w:t xml:space="preserve"> </w:t>
      </w:r>
      <w:r>
        <w:rPr>
          <w:bCs/>
          <w:b/>
        </w:rPr>
        <w:t xml:space="preserve">Business Consultant</w:t>
      </w:r>
      <w:r>
        <w:t xml:space="preserve"> </w:t>
      </w:r>
      <w:r>
        <w:t xml:space="preserve">in the Moroccan market. Specific goals include:</w:t>
      </w:r>
    </w:p>
    <w:p>
      <w:pPr>
        <w:numPr>
          <w:ilvl w:val="0"/>
          <w:numId w:val="1001"/>
        </w:numPr>
        <w:pStyle w:val="Compact"/>
      </w:pPr>
      <w:r>
        <w:t xml:space="preserve">To measure the change in Key Performance Indicators (KPIs) such as net profit margin, operational cost reduction, and employee productivity over a six-month period.</w:t>
      </w:r>
    </w:p>
    <w:p>
      <w:pPr>
        <w:numPr>
          <w:ilvl w:val="0"/>
          <w:numId w:val="1001"/>
        </w:numPr>
        <w:pStyle w:val="Compact"/>
      </w:pPr>
      <w:r>
        <w:t xml:space="preserve">To assess the adaptability of international consulting frameworks when applied by a</w:t>
      </w:r>
      <w:r>
        <w:t xml:space="preserve"> </w:t>
      </w:r>
      <w:r>
        <w:rPr>
          <w:bCs/>
          <w:b/>
        </w:rPr>
        <w:t xml:space="preserve">Business Consultant</w:t>
      </w:r>
      <w:r>
        <w:t xml:space="preserve"> </w:t>
      </w:r>
      <w:r>
        <w:t xml:space="preserve">to the local nuances of</w:t>
      </w:r>
      <w:r>
        <w:t xml:space="preserve"> </w:t>
      </w:r>
      <w:r>
        <w:rPr>
          <w:bCs/>
          <w:b/>
        </w:rPr>
        <w:t xml:space="preserve">Morocco Casablanca</w:t>
      </w:r>
      <w:r>
        <w:t xml:space="preserve">.</w:t>
      </w:r>
    </w:p>
    <w:p>
      <w:pPr>
        <w:numPr>
          <w:ilvl w:val="0"/>
          <w:numId w:val="1001"/>
        </w:numPr>
        <w:pStyle w:val="Compact"/>
      </w:pPr>
      <w:r>
        <w:t xml:space="preserve">To identify the specific competencies (e.g., digitalization, supply chain optimization, HR management) that drive the most significant results in this geographic region.</w:t>
      </w:r>
    </w:p>
    <w:p>
      <w:pPr>
        <w:numPr>
          <w:ilvl w:val="0"/>
          <w:numId w:val="1001"/>
        </w:numPr>
        <w:pStyle w:val="Compact"/>
      </w:pPr>
      <w:r>
        <w:t xml:space="preserve">To evaluate the client-consultant relationship dynamics, focusing on trust, communication barriers, and cultural alignment.</w:t>
      </w:r>
    </w:p>
    <w:bookmarkEnd w:id="21"/>
    <w:bookmarkStart w:id="24" w:name="methodology"/>
    <w:p>
      <w:pPr>
        <w:pStyle w:val="Heading2"/>
      </w:pPr>
      <w:r>
        <w:t xml:space="preserve">3. Methodology</w:t>
      </w:r>
    </w:p>
    <w:p>
      <w:pPr>
        <w:pStyle w:val="FirstParagraph"/>
      </w:pPr>
      <w:r>
        <w:t xml:space="preserve">This</w:t>
      </w:r>
      <w:r>
        <w:t xml:space="preserve"> </w:t>
      </w:r>
      <w:r>
        <w:rPr>
          <w:bCs/>
          <w:b/>
        </w:rPr>
        <w:t xml:space="preserve">Experiment Protocol</w:t>
      </w:r>
      <w:r>
        <w:t xml:space="preserve"> </w:t>
      </w:r>
      <w:r>
        <w:t xml:space="preserve">utilizes a quasi-experimental design involving a control group and a treatment group. The study will be conducted strictly within the metropolitan area of</w:t>
      </w:r>
      <w:r>
        <w:t xml:space="preserve"> </w:t>
      </w:r>
      <w:r>
        <w:rPr>
          <w:bCs/>
          <w:b/>
        </w:rPr>
        <w:t xml:space="preserve">Morocco Casablanca</w:t>
      </w:r>
      <w:r>
        <w:t xml:space="preserve"> </w:t>
      </w:r>
      <w:r>
        <w:t xml:space="preserve">to control for regional economic variables.</w:t>
      </w:r>
    </w:p>
    <w:bookmarkStart w:id="22" w:name="participant-selection"/>
    <w:p>
      <w:pPr>
        <w:pStyle w:val="Heading3"/>
      </w:pPr>
      <w:r>
        <w:t xml:space="preserve">3.1. Participant Selection</w:t>
      </w:r>
    </w:p>
    <w:p>
      <w:pPr>
        <w:pStyle w:val="FirstParagraph"/>
      </w:pPr>
      <w:r>
        <w:t xml:space="preserve">We will recruit 40 SMEs operating in the manufacturing, logistics, or retail sectors within Casablanca. Criteria for inclusion include:</w:t>
      </w:r>
    </w:p>
    <w:p>
      <w:pPr>
        <w:numPr>
          <w:ilvl w:val="0"/>
          <w:numId w:val="1002"/>
        </w:numPr>
        <w:pStyle w:val="Compact"/>
      </w:pPr>
      <w:r>
        <w:t xml:space="preserve">Established for at least 3 years.</w:t>
      </w:r>
    </w:p>
    <w:p>
      <w:pPr>
        <w:numPr>
          <w:ilvl w:val="0"/>
          <w:numId w:val="1002"/>
        </w:numPr>
        <w:pStyle w:val="Compact"/>
      </w:pPr>
      <w:r>
        <w:t xml:space="preserve">Annual turnover between 5M and 50M MAD.</w:t>
      </w:r>
    </w:p>
    <w:p>
      <w:pPr>
        <w:numPr>
          <w:ilvl w:val="0"/>
          <w:numId w:val="1002"/>
        </w:numPr>
        <w:pStyle w:val="Compact"/>
      </w:pPr>
      <w:r>
        <w:t xml:space="preserve">Willingness to share financial data for the duration of the experiment.</w:t>
      </w:r>
    </w:p>
    <w:p>
      <w:pPr>
        <w:pStyle w:val="FirstParagraph"/>
      </w:pPr>
      <w:r>
        <w:t xml:space="preserve">These participants will be randomly assigned to two groups:</w:t>
      </w:r>
    </w:p>
    <w:p>
      <w:pPr>
        <w:numPr>
          <w:ilvl w:val="0"/>
          <w:numId w:val="1003"/>
        </w:numPr>
        <w:pStyle w:val="Compact"/>
      </w:pPr>
      <w:r>
        <w:rPr>
          <w:bCs/>
          <w:b/>
        </w:rPr>
        <w:t xml:space="preserve">Treatment Group (n=20):</w:t>
      </w:r>
      <w:r>
        <w:t xml:space="preserve"> </w:t>
      </w:r>
      <w:r>
        <w:t xml:space="preserve">These companies will engage a certified</w:t>
      </w:r>
      <w:r>
        <w:t xml:space="preserve"> </w:t>
      </w:r>
      <w:r>
        <w:rPr>
          <w:bCs/>
          <w:b/>
        </w:rPr>
        <w:t xml:space="preserve">Business Consultant</w:t>
      </w:r>
      <w:r>
        <w:t xml:space="preserve"> </w:t>
      </w:r>
      <w:r>
        <w:t xml:space="preserve">for a fixed scope of work and duration.</w:t>
      </w:r>
    </w:p>
    <w:p>
      <w:pPr>
        <w:numPr>
          <w:ilvl w:val="0"/>
          <w:numId w:val="1003"/>
        </w:numPr>
        <w:pStyle w:val="Compact"/>
      </w:pPr>
      <w:r>
        <w:rPr>
          <w:bCs/>
          <w:b/>
        </w:rPr>
        <w:t xml:space="preserve">Control Group (n=20):</w:t>
      </w:r>
      <w:r>
        <w:t xml:space="preserve"> </w:t>
      </w:r>
      <w:r>
        <w:t xml:space="preserve">These companies will continue their operations without external consulting intervention.</w:t>
      </w:r>
    </w:p>
    <w:bookmarkEnd w:id="22"/>
    <w:bookmarkStart w:id="23" w:name="X272ded1530d18e63a1aa659fc37a2adc119ec35"/>
    <w:p>
      <w:pPr>
        <w:pStyle w:val="Heading3"/>
      </w:pPr>
      <w:r>
        <w:t xml:space="preserve">3.2. The Intervention (Role of the Business Consultant)</w:t>
      </w:r>
    </w:p>
    <w:p>
      <w:pPr>
        <w:pStyle w:val="FirstParagraph"/>
      </w:pPr>
      <w:r>
        <w:t xml:space="preserve">For the Treatment Group, the</w:t>
      </w:r>
      <w:r>
        <w:t xml:space="preserve"> </w:t>
      </w:r>
      <w:r>
        <w:rPr>
          <w:bCs/>
          <w:b/>
        </w:rPr>
        <w:t xml:space="preserve">Business Consultant</w:t>
      </w:r>
      <w:r>
        <w:t xml:space="preserve"> </w:t>
      </w:r>
      <w:r>
        <w:t xml:space="preserve">will follow a standardized protocol tailored to the Moroccan context. The intervention lasts 180 days and includes:</w:t>
      </w:r>
    </w:p>
    <w:p>
      <w:pPr>
        <w:numPr>
          <w:ilvl w:val="0"/>
          <w:numId w:val="1004"/>
        </w:numPr>
        <w:pStyle w:val="Compact"/>
      </w:pPr>
      <w:r>
        <w:rPr>
          <w:bCs/>
          <w:b/>
        </w:rPr>
        <w:t xml:space="preserve">Diagnostic Phase (Weeks 1-4):</w:t>
      </w:r>
      <w:r>
        <w:t xml:space="preserve"> </w:t>
      </w:r>
      <w:r>
        <w:t xml:space="preserve">Comprehensive audit of current operations, financial health, and market positioning in Casablanca.</w:t>
      </w:r>
    </w:p>
    <w:p>
      <w:pPr>
        <w:numPr>
          <w:ilvl w:val="0"/>
          <w:numId w:val="1004"/>
        </w:numPr>
        <w:pStyle w:val="Compact"/>
      </w:pPr>
      <w:r>
        <w:rPr>
          <w:bCs/>
          <w:b/>
        </w:rPr>
        <w:t xml:space="preserve">Strategy Formulation (Weeks 5-8):</w:t>
      </w:r>
      <w:r>
        <w:t xml:space="preserve"> </w:t>
      </w:r>
      <w:r>
        <w:t xml:space="preserve">Development of a roadmap addressing specific pain points, ensuring alignment with Moroccan labor laws and tax regulations.</w:t>
      </w:r>
    </w:p>
    <w:p>
      <w:pPr>
        <w:numPr>
          <w:ilvl w:val="0"/>
          <w:numId w:val="1004"/>
        </w:numPr>
        <w:pStyle w:val="Compact"/>
      </w:pPr>
      <w:r>
        <w:rPr>
          <w:bCs/>
          <w:b/>
        </w:rPr>
        <w:t xml:space="preserve">Implementation Support (Weeks 9-20):</w:t>
      </w:r>
      <w:r>
        <w:t xml:space="preserve"> </w:t>
      </w:r>
      <w:r>
        <w:t xml:space="preserve">Hands-on assistance in executing the strategy, including staff training and process re-engineering.</w:t>
      </w:r>
    </w:p>
    <w:p>
      <w:pPr>
        <w:numPr>
          <w:ilvl w:val="0"/>
          <w:numId w:val="1004"/>
        </w:numPr>
        <w:pStyle w:val="Compact"/>
      </w:pPr>
      <w:r>
        <w:rPr>
          <w:bCs/>
          <w:b/>
        </w:rPr>
        <w:t xml:space="preserve">Review and Handover (Weeks 21-24):</w:t>
      </w:r>
      <w:r>
        <w:t xml:space="preserve"> </w:t>
      </w:r>
      <w:r>
        <w:t xml:space="preserve">Final assessment and establishment of internal mechanisms to sustain improvements.</w:t>
      </w:r>
    </w:p>
    <w:bookmarkEnd w:id="23"/>
    <w:bookmarkEnd w:id="24"/>
    <w:bookmarkStart w:id="25" w:name="data-collection-and-metrics"/>
    <w:p>
      <w:pPr>
        <w:pStyle w:val="Heading2"/>
      </w:pPr>
      <w:r>
        <w:t xml:space="preserve">4. Data Collection and Metrics</w:t>
      </w:r>
    </w:p>
    <w:p>
      <w:pPr>
        <w:pStyle w:val="FirstParagraph"/>
      </w:pPr>
      <w:r>
        <w:t xml:space="preserve">To ensure the validity of this</w:t>
      </w:r>
      <w:r>
        <w:t xml:space="preserve"> </w:t>
      </w:r>
      <w:r>
        <w:rPr>
          <w:bCs/>
          <w:b/>
        </w:rPr>
        <w:t xml:space="preserve">Experiment Protocol</w:t>
      </w:r>
      <w:r>
        <w:t xml:space="preserve">, data will be collected at three intervals: Baseline (T0), Mid-point (T1), and Post-intervention (T2).</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Indicators</w:t>
            </w:r>
          </w:p>
        </w:tc>
        <w:tc>
          <w:tcPr/>
          <w:p>
            <w:pPr>
              <w:pStyle w:val="Compact"/>
              <w:jc w:val="left"/>
            </w:pPr>
            <w:r>
              <w:t xml:space="preserve">Source</w:t>
            </w:r>
          </w:p>
        </w:tc>
      </w:tr>
      <w:tr>
        <w:tc>
          <w:tcPr/>
          <w:p>
            <w:pPr>
              <w:pStyle w:val="Compact"/>
              <w:jc w:val="left"/>
            </w:pPr>
            <w:r>
              <w:t xml:space="preserve">Financial Performance</w:t>
            </w:r>
          </w:p>
        </w:tc>
        <w:tc>
          <w:tcPr/>
          <w:p>
            <w:pPr>
              <w:pStyle w:val="Compact"/>
              <w:jc w:val="left"/>
            </w:pPr>
            <w:r>
              <w:t xml:space="preserve">Revenue growth %, Gross margin %, Cost per unit</w:t>
            </w:r>
          </w:p>
        </w:tc>
        <w:tc>
          <w:tcPr/>
          <w:p>
            <w:pPr>
              <w:pStyle w:val="Compact"/>
              <w:jc w:val="left"/>
            </w:pPr>
            <w:r>
              <w:t xml:space="preserve">Accounting records</w:t>
            </w:r>
          </w:p>
        </w:tc>
      </w:tr>
      <w:tr>
        <w:tc>
          <w:tcPr/>
          <w:p>
            <w:pPr>
              <w:pStyle w:val="Compact"/>
              <w:jc w:val="left"/>
            </w:pPr>
            <w:r>
              <w:t xml:space="preserve">Operational Efficiency</w:t>
            </w:r>
          </w:p>
        </w:tc>
        <w:tc>
          <w:tcPr/>
          <w:p>
            <w:pPr>
              <w:pStyle w:val="Compact"/>
              <w:jc w:val="left"/>
            </w:pPr>
            <w:r>
              <w:t xml:space="preserve">Production cycle time, Inventory turnover, Error rates</w:t>
            </w:r>
          </w:p>
        </w:tc>
        <w:tc>
          <w:tcPr/>
          <w:p>
            <w:pPr>
              <w:pStyle w:val="Compact"/>
              <w:jc w:val="left"/>
            </w:pPr>
            <w:r>
              <w:t xml:space="preserve">Operational logs</w:t>
            </w:r>
          </w:p>
        </w:tc>
      </w:tr>
      <w:tr>
        <w:tc>
          <w:tcPr/>
          <w:p>
            <w:pPr>
              <w:pStyle w:val="Compact"/>
              <w:jc w:val="left"/>
            </w:pPr>
            <w:r>
              <w:t xml:space="preserve">Human Capital</w:t>
            </w:r>
          </w:p>
        </w:tc>
        <w:tc>
          <w:tcPr/>
          <w:p>
            <w:pPr>
              <w:pStyle w:val="Compact"/>
              <w:jc w:val="left"/>
            </w:pPr>
            <w:r>
              <w:t xml:space="preserve">Employee satisfaction scores, Turnover rate</w:t>
            </w:r>
          </w:p>
        </w:tc>
        <w:tc>
          <w:tcPr/>
          <w:p>
            <w:pPr>
              <w:pStyle w:val="Compact"/>
              <w:jc w:val="left"/>
            </w:pPr>
            <w:r>
              <w:t xml:space="preserve">HR Surveys</w:t>
            </w:r>
          </w:p>
        </w:tc>
      </w:tr>
      <w:tr>
        <w:tc>
          <w:tcPr/>
          <w:p>
            <w:pPr>
              <w:pStyle w:val="Compact"/>
              <w:jc w:val="left"/>
            </w:pPr>
            <w:r>
              <w:t xml:space="preserve">Consultant Impact</w:t>
            </w:r>
          </w:p>
        </w:tc>
        <w:tc>
          <w:tcPr/>
          <w:p>
            <w:pPr>
              <w:pStyle w:val="Compact"/>
              <w:jc w:val="left"/>
            </w:pPr>
            <w:r>
              <w:t xml:space="preserve">Client satisfaction with the Business Consultant, Implementation fidelity</w:t>
            </w:r>
          </w:p>
        </w:tc>
        <w:tc>
          <w:tcPr/>
          <w:p>
            <w:pPr>
              <w:pStyle w:val="Compact"/>
              <w:jc w:val="left"/>
            </w:pPr>
            <w:r>
              <w:t xml:space="preserve">Post-engagement surveys</w:t>
            </w:r>
          </w:p>
        </w:tc>
      </w:tr>
    </w:tbl>
    <w:bookmarkEnd w:id="25"/>
    <w:bookmarkStart w:id="26" w:name="X882c2c8d694e279221b9974374178f74b03f957"/>
    <w:p>
      <w:pPr>
        <w:pStyle w:val="Heading2"/>
      </w:pPr>
      <w:r>
        <w:t xml:space="preserve">5. Ethical Considerations and Risk Management</w:t>
      </w:r>
    </w:p>
    <w:p>
      <w:pPr>
        <w:pStyle w:val="FirstParagraph"/>
      </w:pPr>
      <w:r>
        <w:t xml:space="preserve">Given the sensitive nature of business data in</w:t>
      </w:r>
      <w:r>
        <w:t xml:space="preserve"> </w:t>
      </w:r>
      <w:r>
        <w:rPr>
          <w:bCs/>
          <w:b/>
        </w:rPr>
        <w:t xml:space="preserve">Morocco Casablanca</w:t>
      </w:r>
      <w:r>
        <w:t xml:space="preserve">, strict confidentiality protocols are enforced. All participants will sign Non-Disclosure Agreements (NDAs). The</w:t>
      </w:r>
      <w:r>
        <w:t xml:space="preserve"> </w:t>
      </w:r>
      <w:r>
        <w:rPr>
          <w:bCs/>
          <w:b/>
        </w:rPr>
        <w:t xml:space="preserve">Business Consultant</w:t>
      </w:r>
      <w:r>
        <w:t xml:space="preserve"> </w:t>
      </w:r>
      <w:r>
        <w:t xml:space="preserve">must adhere to the ethical standards set by the Moroccan Order of Chartered Accountants and relevant consulting bodies.</w:t>
      </w:r>
    </w:p>
    <w:p>
      <w:pPr>
        <w:pStyle w:val="BodyText"/>
      </w:pPr>
      <w:r>
        <w:t xml:space="preserve">Potential risks include:</w:t>
      </w:r>
    </w:p>
    <w:p>
      <w:pPr>
        <w:numPr>
          <w:ilvl w:val="0"/>
          <w:numId w:val="1005"/>
        </w:numPr>
        <w:pStyle w:val="Compact"/>
      </w:pPr>
      <w:r>
        <w:rPr>
          <w:bCs/>
          <w:b/>
        </w:rPr>
        <w:t xml:space="preserve">Data Integrity:</w:t>
      </w:r>
      <w:r>
        <w:t xml:space="preserve"> </w:t>
      </w:r>
      <w:r>
        <w:t xml:space="preserve">Ensuring financial reports are accurate and not manipulated to favor the experiment's outcome.</w:t>
      </w:r>
    </w:p>
    <w:p>
      <w:pPr>
        <w:numPr>
          <w:ilvl w:val="0"/>
          <w:numId w:val="1005"/>
        </w:numPr>
        <w:pStyle w:val="Compact"/>
      </w:pPr>
      <w:r>
        <w:rPr>
          <w:bCs/>
          <w:b/>
        </w:rPr>
        <w:t xml:space="preserve">Consultant Bias:</w:t>
      </w:r>
      <w:r>
        <w:t xml:space="preserve"> </w:t>
      </w:r>
      <w:r>
        <w:t xml:space="preserve">The</w:t>
      </w:r>
      <w:r>
        <w:t xml:space="preserve"> </w:t>
      </w:r>
      <w:r>
        <w:rPr>
          <w:bCs/>
          <w:b/>
        </w:rPr>
        <w:t xml:space="preserve">Business Consultant</w:t>
      </w:r>
      <w:r>
        <w:t xml:space="preserve"> </w:t>
      </w:r>
      <w:r>
        <w:t xml:space="preserve">must remain objective and not tailor advice solely to please the client, which would skew the experiment's results.</w:t>
      </w:r>
    </w:p>
    <w:p>
      <w:pPr>
        <w:numPr>
          <w:ilvl w:val="0"/>
          <w:numId w:val="1005"/>
        </w:numPr>
        <w:pStyle w:val="Compact"/>
      </w:pPr>
      <w:r>
        <w:rPr>
          <w:bCs/>
          <w:b/>
        </w:rPr>
        <w:t xml:space="preserve">External Factors:</w:t>
      </w:r>
      <w:r>
        <w:t xml:space="preserve"> </w:t>
      </w:r>
      <w:r>
        <w:t xml:space="preserve">Macroeconomic shifts in Casablanca (e.g., currency fluctuation, regulatory changes) will be monitored and controlled for in the statistical analysis.</w:t>
      </w:r>
    </w:p>
    <w:bookmarkEnd w:id="26"/>
    <w:bookmarkStart w:id="27" w:name="timeline"/>
    <w:p>
      <w:pPr>
        <w:pStyle w:val="Heading2"/>
      </w:pPr>
      <w:r>
        <w:t xml:space="preserve">6. Timeline</w:t>
      </w:r>
    </w:p>
    <w:p>
      <w:pPr>
        <w:pStyle w:val="FirstParagraph"/>
      </w:pPr>
      <w:r>
        <w:t xml:space="preserve">The total duration of this</w:t>
      </w:r>
      <w:r>
        <w:t xml:space="preserve"> </w:t>
      </w:r>
      <w:r>
        <w:rPr>
          <w:bCs/>
          <w:b/>
        </w:rPr>
        <w:t xml:space="preserve">Experiment Protocol</w:t>
      </w:r>
      <w:r>
        <w:t xml:space="preserve"> </w:t>
      </w:r>
      <w:r>
        <w:t xml:space="preserve">is 12 months.</w:t>
      </w:r>
    </w:p>
    <w:p>
      <w:pPr>
        <w:numPr>
          <w:ilvl w:val="0"/>
          <w:numId w:val="1006"/>
        </w:numPr>
        <w:pStyle w:val="Compact"/>
      </w:pPr>
      <w:r>
        <w:rPr>
          <w:bCs/>
          <w:b/>
        </w:rPr>
        <w:t xml:space="preserve">Months 1-2:</w:t>
      </w:r>
      <w:r>
        <w:t xml:space="preserve"> </w:t>
      </w:r>
      <w:r>
        <w:t xml:space="preserve">Recruitment and Baseline Data Collection.</w:t>
      </w:r>
    </w:p>
    <w:p>
      <w:pPr>
        <w:numPr>
          <w:ilvl w:val="0"/>
          <w:numId w:val="1006"/>
        </w:numPr>
        <w:pStyle w:val="Compact"/>
      </w:pPr>
      <w:r>
        <w:rPr>
          <w:bCs/>
          <w:b/>
        </w:rPr>
        <w:t xml:space="preserve">Months 3-8:</w:t>
      </w:r>
      <w:r>
        <w:t xml:space="preserve"> </w:t>
      </w:r>
      <w:r>
        <w:t xml:space="preserve">Execution of the Business Consultant intervention.</w:t>
      </w:r>
    </w:p>
    <w:p>
      <w:pPr>
        <w:numPr>
          <w:ilvl w:val="0"/>
          <w:numId w:val="1006"/>
        </w:numPr>
        <w:pStyle w:val="Compact"/>
      </w:pPr>
      <w:r>
        <w:rPr>
          <w:bCs/>
          <w:b/>
        </w:rPr>
        <w:t xml:space="preserve">Months 9-10:</w:t>
      </w:r>
      <w:r>
        <w:t xml:space="preserve"> </w:t>
      </w:r>
      <w:r>
        <w:t xml:space="preserve">Post-intervention Data Collection.</w:t>
      </w:r>
    </w:p>
    <w:p>
      <w:pPr>
        <w:numPr>
          <w:ilvl w:val="0"/>
          <w:numId w:val="1006"/>
        </w:numPr>
        <w:pStyle w:val="Compact"/>
      </w:pPr>
      <w:r>
        <w:rPr>
          <w:bCs/>
          <w:b/>
        </w:rPr>
        <w:t xml:space="preserve">Months 11-12:</w:t>
      </w:r>
      <w:r>
        <w:t xml:space="preserve"> </w:t>
      </w:r>
      <w:r>
        <w:t xml:space="preserve">Data Analysis and Reporting.</w:t>
      </w:r>
    </w:p>
    <w:bookmarkEnd w:id="27"/>
    <w:bookmarkStart w:id="28" w:name="expected-outcomes"/>
    <w:p>
      <w:pPr>
        <w:pStyle w:val="Heading2"/>
      </w:pPr>
      <w:r>
        <w:t xml:space="preserve">7. Expected Outcomes</w:t>
      </w:r>
    </w:p>
    <w:p>
      <w:pPr>
        <w:pStyle w:val="FirstParagraph"/>
      </w:pPr>
      <w:r>
        <w:t xml:space="preserve">We hypothesize that SMEs in the Treatment Group, guided by a</w:t>
      </w:r>
      <w:r>
        <w:t xml:space="preserve"> </w:t>
      </w:r>
      <w:r>
        <w:rPr>
          <w:bCs/>
          <w:b/>
        </w:rPr>
        <w:t xml:space="preserve">Business Consultant</w:t>
      </w:r>
      <w:r>
        <w:t xml:space="preserve">, will demonstrate a statistically significant improvement in operational efficiency (minimum 15%) and a faster adaptation to digital tools compared to the Control Group. Furthermore, this study aims to produce a "Best Practice Framework" for consulting engagements specifically tailored to the cultural and economic environment of</w:t>
      </w:r>
      <w:r>
        <w:t xml:space="preserve"> </w:t>
      </w:r>
      <w:r>
        <w:rPr>
          <w:bCs/>
          <w:b/>
        </w:rPr>
        <w:t xml:space="preserve">Morocco Casablanca</w:t>
      </w:r>
      <w:r>
        <w:t xml:space="preserve">.</w:t>
      </w:r>
    </w:p>
    <w:p>
      <w:pPr>
        <w:pStyle w:val="BodyText"/>
      </w:pPr>
      <w:r>
        <w:t xml:space="preserve">© 2023 Strategic Research Initiative. All rights reserved.</w:t>
      </w:r>
      <w:r>
        <w:br/>
      </w:r>
      <w:r>
        <w:t xml:space="preserve">This document is confidential and intended for authorized personnel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Morocco Casablanca</dc:title>
  <dc:creator/>
  <dc:language>en</dc:language>
  <cp:keywords/>
  <dcterms:created xsi:type="dcterms:W3CDTF">2026-10-10T09:17:11Z</dcterms:created>
  <dcterms:modified xsi:type="dcterms:W3CDTF">2026-10-10T09:17:11Z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