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Amsterdam</w:t>
      </w:r>
    </w:p>
    <w:bookmarkStart w:id="32" w:name="X58a5d9038973dc1e43173bf61fc9d301a1c2ab1"/>
    <w:p>
      <w:pPr>
        <w:pStyle w:val="Heading1"/>
      </w:pPr>
      <w:r>
        <w:t xml:space="preserve">Experiment Protocol: Evaluating the Impact of Business Consultant Interventions on SME Growth in Netherlands Amsterdam</w:t>
      </w:r>
    </w:p>
    <w:p>
      <w:pPr>
        <w:pStyle w:val="FirstParagraph"/>
      </w:pPr>
      <w:r>
        <w:rPr>
          <w:bCs/>
          <w:b/>
        </w:rPr>
        <w:t xml:space="preserve">Protocol ID:</w:t>
      </w:r>
      <w:r>
        <w:t xml:space="preserve"> </w:t>
      </w:r>
      <w:r>
        <w:t xml:space="preserve">EXP-AMS-BC-2024-001</w:t>
      </w:r>
    </w:p>
    <w:p>
      <w:pPr>
        <w:pStyle w:val="BodyText"/>
      </w:pPr>
      <w:r>
        <w:rPr>
          <w:bCs/>
          <w:b/>
        </w:rPr>
        <w:t xml:space="preserve">Date of Issue:</w:t>
      </w:r>
      <w:r>
        <w:t xml:space="preserve"> </w:t>
      </w:r>
      <w:r>
        <w:t xml:space="preserve">October 26, 2023</w:t>
      </w:r>
    </w:p>
    <w:p>
      <w:pPr>
        <w:pStyle w:val="BodyText"/>
      </w:pPr>
      <w:r>
        <w:rPr>
          <w:bCs/>
          <w:b/>
        </w:rPr>
        <w:t xml:space="preserve">Location:</w:t>
      </w:r>
      <w:r>
        <w:t xml:space="preserve"> </w:t>
      </w:r>
      <w:r>
        <w:t xml:space="preserve">Amsterdam, Netherlands</w:t>
      </w:r>
    </w:p>
    <w:p>
      <w:pPr>
        <w:pStyle w:val="BodyText"/>
      </w:pPr>
      <w:r>
        <w:rPr>
          <w:bCs/>
          <w:b/>
        </w:rPr>
        <w:t xml:space="preserve">Version:</w:t>
      </w:r>
      <w:r>
        <w:t xml:space="preserve"> </w:t>
      </w:r>
      <w:r>
        <w:t xml:space="preserve">1.0</w:t>
      </w:r>
    </w:p>
    <w:p>
      <w:pPr>
        <w:pStyle w:val="BodyText"/>
      </w:pPr>
      <w:r>
        <w:rPr>
          <w:bCs/>
          <w:b/>
        </w:rPr>
        <w:t xml:space="preserve">Lead Researcher: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Amsterdam, the capital of the Netherlands, serves as a dynamic hub for innovation, technology, and international trade. The local economy is characterized by a high density of Small and Medium-sized Enterprises (SMEs) that frequently engage external expertise to navigate complex regulatory environments, optimize operational efficiency, and scale globally. The role of the</w:t>
      </w:r>
      <w:r>
        <w:t xml:space="preserve"> </w:t>
      </w:r>
      <w:r>
        <w:rPr>
          <w:bCs/>
          <w:b/>
        </w:rPr>
        <w:t xml:space="preserve">Business Consultant</w:t>
      </w:r>
      <w:r>
        <w:t xml:space="preserve"> </w:t>
      </w:r>
      <w:r>
        <w:t xml:space="preserve">in this ecosystem is pivotal, yet the quantifiable return on investment (ROI) of such advisory services remains a subject of debate among stakeholders.</w:t>
      </w:r>
    </w:p>
    <w:p>
      <w:pPr>
        <w:pStyle w:val="BodyText"/>
      </w:pPr>
      <w:r>
        <w:t xml:space="preserve">This</w:t>
      </w:r>
      <w:r>
        <w:t xml:space="preserve"> </w:t>
      </w:r>
      <w:r>
        <w:rPr>
          <w:bCs/>
          <w:b/>
        </w:rPr>
        <w:t xml:space="preserve">Experiment Protocol</w:t>
      </w:r>
      <w:r>
        <w:t xml:space="preserve"> </w:t>
      </w:r>
      <w:r>
        <w:t xml:space="preserve">outlines a rigorous methodology to assess the causal impact of structured business consulting interventions on the performance metrics of SMEs located within the municipality of Amsterdam. By isolating specific consulting variables, this study aims to provide empirical evidence regarding the efficacy of professional advisory services in the Dutch market context.</w:t>
      </w:r>
    </w:p>
    <w:bookmarkEnd w:id="20"/>
    <w:bookmarkStart w:id="21" w:name="objectives"/>
    <w:p>
      <w:pPr>
        <w:pStyle w:val="Heading2"/>
      </w:pPr>
      <w:r>
        <w:t xml:space="preserve">2. Objectives</w:t>
      </w:r>
    </w:p>
    <w:p>
      <w:pPr>
        <w:pStyle w:val="FirstParagraph"/>
      </w:pPr>
      <w:r>
        <w:t xml:space="preserve">The primary objective of this experiment is to determine whether engagement with a certified</w:t>
      </w:r>
      <w:r>
        <w:t xml:space="preserve"> </w:t>
      </w:r>
      <w:r>
        <w:rPr>
          <w:bCs/>
          <w:b/>
        </w:rPr>
        <w:t xml:space="preserve">Business Consultant</w:t>
      </w:r>
      <w:r>
        <w:t xml:space="preserve"> </w:t>
      </w:r>
      <w:r>
        <w:t xml:space="preserve">leads to statistically significant improvements in key performance indicators (KPIs) compared to a control group operating without such intervention.</w:t>
      </w:r>
    </w:p>
    <w:p>
      <w:pPr>
        <w:pStyle w:val="BodyText"/>
      </w:pPr>
      <w:r>
        <w:t xml:space="preserve">Specific objectives include:</w:t>
      </w:r>
    </w:p>
    <w:p>
      <w:pPr>
        <w:numPr>
          <w:ilvl w:val="0"/>
          <w:numId w:val="1001"/>
        </w:numPr>
        <w:pStyle w:val="Compact"/>
      </w:pPr>
      <w:r>
        <w:t xml:space="preserve">To measure changes in revenue growth, operational efficiency, and employee retention rates over a six-month period.</w:t>
      </w:r>
    </w:p>
    <w:p>
      <w:pPr>
        <w:numPr>
          <w:ilvl w:val="0"/>
          <w:numId w:val="1001"/>
        </w:numPr>
        <w:pStyle w:val="Compact"/>
      </w:pPr>
      <w:r>
        <w:t xml:space="preserve">To evaluate the adaptability of standard consulting frameworks to the specific cultural and regulatory nuances of</w:t>
      </w:r>
      <w:r>
        <w:t xml:space="preserve"> </w:t>
      </w:r>
      <w:r>
        <w:rPr>
          <w:bCs/>
          <w:b/>
        </w:rPr>
        <w:t xml:space="preserve">Netherlands Amsterdam</w:t>
      </w:r>
      <w:r>
        <w:t xml:space="preserve">.</w:t>
      </w:r>
    </w:p>
    <w:p>
      <w:pPr>
        <w:numPr>
          <w:ilvl w:val="0"/>
          <w:numId w:val="1001"/>
        </w:numPr>
        <w:pStyle w:val="Compact"/>
      </w:pPr>
      <w:r>
        <w:t xml:space="preserve">To identify which specific consulting methodologies (e.g., Lean Six Sigma, Agile Transformation, Strategic Planning) yield the highest impact in the Amsterdam tech and service sectors.</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This approach is selected to minimize selection bias and ensure that observed outcomes can be attributed to the consulting intervention rather than external market factors.</w:t>
      </w:r>
    </w:p>
    <w:bookmarkEnd w:id="22"/>
    <w:bookmarkStart w:id="23" w:name="participants-and-sampling"/>
    <w:p>
      <w:pPr>
        <w:pStyle w:val="Heading3"/>
      </w:pPr>
      <w:r>
        <w:t xml:space="preserve">3.2 Participants and Sampling</w:t>
      </w:r>
    </w:p>
    <w:p>
      <w:pPr>
        <w:pStyle w:val="FirstParagraph"/>
      </w:pPr>
      <w:r>
        <w:t xml:space="preserve">The target population consists of SMEs registered in Amsterdam with between 10 and 100 employees. Participants will be recruited through the Amsterdam Chamber of Commerce (KVK) and local business networks.</w:t>
      </w:r>
    </w:p>
    <w:p>
      <w:pPr>
        <w:pStyle w:val="BodyText"/>
      </w:pPr>
      <w:r>
        <w:rPr>
          <w:bCs/>
          <w:b/>
        </w:rPr>
        <w:t xml:space="preserve">Inclusion Criteria:</w:t>
      </w:r>
    </w:p>
    <w:p>
      <w:pPr>
        <w:numPr>
          <w:ilvl w:val="0"/>
          <w:numId w:val="1002"/>
        </w:numPr>
        <w:pStyle w:val="Compact"/>
      </w:pPr>
      <w:r>
        <w:t xml:space="preserve">Headquarters physically located within Amsterdam city limits.</w:t>
      </w:r>
    </w:p>
    <w:p>
      <w:pPr>
        <w:numPr>
          <w:ilvl w:val="0"/>
          <w:numId w:val="1002"/>
        </w:numPr>
        <w:pStyle w:val="Compact"/>
      </w:pPr>
      <w:r>
        <w:t xml:space="preserve">Operating for at least two years to ensure baseline stability.</w:t>
      </w:r>
    </w:p>
    <w:p>
      <w:pPr>
        <w:numPr>
          <w:ilvl w:val="0"/>
          <w:numId w:val="1002"/>
        </w:numPr>
        <w:pStyle w:val="Compact"/>
      </w:pPr>
      <w:r>
        <w:t xml:space="preserve">Willingness to share financial and operational data for the duration of the experiment.</w:t>
      </w:r>
    </w:p>
    <w:p>
      <w:pPr>
        <w:pStyle w:val="FirstParagraph"/>
      </w:pPr>
      <w:r>
        <w:rPr>
          <w:bCs/>
          <w:b/>
        </w:rPr>
        <w:t xml:space="preserve">Exclusion Criteria:</w:t>
      </w:r>
    </w:p>
    <w:p>
      <w:pPr>
        <w:numPr>
          <w:ilvl w:val="0"/>
          <w:numId w:val="1003"/>
        </w:numPr>
        <w:pStyle w:val="Compact"/>
      </w:pPr>
      <w:r>
        <w:t xml:space="preserve">Companies currently undergoing bankruptcy proceedings or major mergers.</w:t>
      </w:r>
    </w:p>
    <w:p>
      <w:pPr>
        <w:numPr>
          <w:ilvl w:val="0"/>
          <w:numId w:val="1003"/>
        </w:numPr>
        <w:pStyle w:val="Compact"/>
      </w:pPr>
      <w:r>
        <w:t xml:space="preserve">Entities already engaged with a full-time external</w:t>
      </w:r>
      <w:r>
        <w:t xml:space="preserve"> </w:t>
      </w:r>
      <w:r>
        <w:rPr>
          <w:bCs/>
          <w:b/>
        </w:rPr>
        <w:t xml:space="preserve">Business Consultant</w:t>
      </w:r>
      <w:r>
        <w:t xml:space="preserve"> </w:t>
      </w:r>
      <w:r>
        <w:t xml:space="preserve">for more than six months prior to the study.</w:t>
      </w:r>
    </w:p>
    <w:bookmarkEnd w:id="23"/>
    <w:bookmarkStart w:id="24" w:name="intervention-group"/>
    <w:p>
      <w:pPr>
        <w:pStyle w:val="Heading3"/>
      </w:pPr>
      <w:r>
        <w:t xml:space="preserve">3.3 Intervention Group</w:t>
      </w:r>
    </w:p>
    <w:p>
      <w:pPr>
        <w:pStyle w:val="FirstParagraph"/>
      </w:pPr>
      <w:r>
        <w:t xml:space="preserve">Participants in the intervention group will be paired with a vetted</w:t>
      </w:r>
      <w:r>
        <w:t xml:space="preserve"> </w:t>
      </w:r>
      <w:r>
        <w:rPr>
          <w:bCs/>
          <w:b/>
        </w:rPr>
        <w:t xml:space="preserve">Business Consultant</w:t>
      </w:r>
      <w:r>
        <w:t xml:space="preserve"> </w:t>
      </w:r>
      <w:r>
        <w:t xml:space="preserve">specializing in their industry sector. The consultant will implement a standardized 12-week intervention plan focusing on:</w:t>
      </w:r>
    </w:p>
    <w:p>
      <w:pPr>
        <w:numPr>
          <w:ilvl w:val="0"/>
          <w:numId w:val="1004"/>
        </w:numPr>
        <w:pStyle w:val="Compact"/>
      </w:pPr>
      <w:r>
        <w:t xml:space="preserve">Strategic alignment and goal setting.</w:t>
      </w:r>
    </w:p>
    <w:p>
      <w:pPr>
        <w:numPr>
          <w:ilvl w:val="0"/>
          <w:numId w:val="1004"/>
        </w:numPr>
        <w:pStyle w:val="Compact"/>
      </w:pPr>
      <w:r>
        <w:t xml:space="preserve">Process optimization and digital transformation.</w:t>
      </w:r>
    </w:p>
    <w:p>
      <w:pPr>
        <w:numPr>
          <w:ilvl w:val="0"/>
          <w:numId w:val="1004"/>
        </w:numPr>
        <w:pStyle w:val="Compact"/>
      </w:pPr>
      <w:r>
        <w:t xml:space="preserve">Market expansion strategies tailored to the European Union regulatory framework.</w:t>
      </w:r>
    </w:p>
    <w:p>
      <w:pPr>
        <w:pStyle w:val="FirstParagraph"/>
      </w:pPr>
      <w:r>
        <w:t xml:space="preserve">All consultants must adhere to the code of conduct established by the Dutch Association of Management Consultants (NVvM) to ensure ethical standards and professional competence.</w:t>
      </w:r>
    </w:p>
    <w:bookmarkEnd w:id="24"/>
    <w:bookmarkStart w:id="25" w:name="control-group"/>
    <w:p>
      <w:pPr>
        <w:pStyle w:val="Heading3"/>
      </w:pPr>
      <w:r>
        <w:t xml:space="preserve">3.4 Control Group</w:t>
      </w:r>
    </w:p>
    <w:p>
      <w:pPr>
        <w:pStyle w:val="FirstParagraph"/>
      </w:pPr>
      <w:r>
        <w:t xml:space="preserve">The control group will continue their operations as usual without external consulting intervention. However, they will be provided with access to general informational resources provided by the Amsterdam municipality to ensure ethical fairness, though these resources will not constitute personalized advisory services.</w:t>
      </w:r>
    </w:p>
    <w:bookmarkEnd w:id="25"/>
    <w:bookmarkEnd w:id="26"/>
    <w:bookmarkStart w:id="27" w:name="data-collection-and-metrics"/>
    <w:p>
      <w:pPr>
        <w:pStyle w:val="Heading2"/>
      </w:pPr>
      <w:r>
        <w:t xml:space="preserve">4. Data Collection and Metrics</w:t>
      </w:r>
    </w:p>
    <w:p>
      <w:pPr>
        <w:pStyle w:val="FirstParagraph"/>
      </w:pPr>
      <w:r>
        <w:t xml:space="preserve">Data will be collected at three intervals: Baseline (T0), Mid-point (T1), and Post-intervention (T2). The following metrics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Specific Indicator</w:t>
            </w:r>
          </w:p>
        </w:tc>
        <w:tc>
          <w:tcPr/>
          <w:p>
            <w:pPr>
              <w:pStyle w:val="Compact"/>
              <w:jc w:val="left"/>
            </w:pPr>
            <w:r>
              <w:t xml:space="preserve">Measurement Method</w:t>
            </w:r>
          </w:p>
        </w:tc>
      </w:tr>
      <w:tr>
        <w:tc>
          <w:tcPr/>
          <w:p>
            <w:pPr>
              <w:pStyle w:val="Compact"/>
              <w:jc w:val="left"/>
            </w:pPr>
            <w:r>
              <w:t xml:space="preserve">Financial Performance</w:t>
            </w:r>
          </w:p>
        </w:tc>
        <w:tc>
          <w:tcPr/>
          <w:p>
            <w:pPr>
              <w:pStyle w:val="Compact"/>
              <w:jc w:val="left"/>
            </w:pPr>
            <w:r>
              <w:t xml:space="preserve">Revenue Growth Rate</w:t>
            </w:r>
          </w:p>
        </w:tc>
        <w:tc>
          <w:tcPr/>
          <w:p>
            <w:pPr>
              <w:pStyle w:val="Compact"/>
              <w:jc w:val="left"/>
            </w:pPr>
            <w:r>
              <w:t xml:space="preserve">Quarterly financial statements</w:t>
            </w:r>
          </w:p>
        </w:tc>
      </w:tr>
      <w:tr>
        <w:tc>
          <w:tcPr/>
          <w:p>
            <w:pPr>
              <w:pStyle w:val="Compact"/>
              <w:jc w:val="left"/>
            </w:pPr>
            <w:r>
              <w:t xml:space="preserve">Operational Efficiency</w:t>
            </w:r>
          </w:p>
        </w:tc>
        <w:tc>
          <w:tcPr/>
          <w:p>
            <w:pPr>
              <w:pStyle w:val="Compact"/>
              <w:jc w:val="left"/>
            </w:pPr>
            <w:r>
              <w:t xml:space="preserve">Cost per Unit of Output</w:t>
            </w:r>
          </w:p>
        </w:tc>
        <w:tc>
          <w:tcPr/>
          <w:p>
            <w:pPr>
              <w:pStyle w:val="Compact"/>
              <w:jc w:val="left"/>
            </w:pPr>
            <w:r>
              <w:t xml:space="preserve">Internal operational logs</w:t>
            </w:r>
          </w:p>
        </w:tc>
      </w:tr>
      <w:tr>
        <w:tc>
          <w:tcPr/>
          <w:p>
            <w:pPr>
              <w:pStyle w:val="Compact"/>
              <w:jc w:val="left"/>
            </w:pPr>
            <w:r>
              <w:t xml:space="preserve">Human Capital</w:t>
            </w:r>
          </w:p>
        </w:tc>
        <w:tc>
          <w:tcPr/>
          <w:p>
            <w:pPr>
              <w:pStyle w:val="Compact"/>
              <w:jc w:val="left"/>
            </w:pPr>
            <w:r>
              <w:t xml:space="preserve">Employee Turnover Rate</w:t>
            </w:r>
          </w:p>
        </w:tc>
        <w:tc>
          <w:tcPr/>
          <w:p>
            <w:pPr>
              <w:pStyle w:val="Compact"/>
              <w:jc w:val="left"/>
            </w:pPr>
            <w:r>
              <w:t xml:space="preserve">HR records</w:t>
            </w:r>
          </w:p>
        </w:tc>
      </w:tr>
      <w:tr>
        <w:tc>
          <w:tcPr/>
          <w:p>
            <w:pPr>
              <w:pStyle w:val="Compact"/>
              <w:jc w:val="left"/>
            </w:pPr>
            <w:r>
              <w:t xml:space="preserve">Strategic Clarity</w:t>
            </w:r>
          </w:p>
        </w:tc>
        <w:tc>
          <w:tcPr/>
          <w:p>
            <w:pPr>
              <w:pStyle w:val="Compact"/>
              <w:jc w:val="left"/>
            </w:pPr>
            <w:r>
              <w:t xml:space="preserve">Goal Achievement Index</w:t>
            </w:r>
          </w:p>
        </w:tc>
        <w:tc>
          <w:tcPr/>
          <w:p>
            <w:pPr>
              <w:pStyle w:val="Compact"/>
              <w:jc w:val="left"/>
            </w:pPr>
            <w:r>
              <w:t xml:space="preserve">Managerial surveys</w:t>
            </w:r>
          </w:p>
        </w:tc>
      </w:tr>
    </w:tbl>
    <w:bookmarkEnd w:id="27"/>
    <w:bookmarkStart w:id="28" w:name="ethical-considerations-and-compliance"/>
    <w:p>
      <w:pPr>
        <w:pStyle w:val="Heading2"/>
      </w:pPr>
      <w:r>
        <w:t xml:space="preserve">5. Ethical Considerations and Compliance</w:t>
      </w:r>
    </w:p>
    <w:p>
      <w:pPr>
        <w:pStyle w:val="FirstParagraph"/>
      </w:pPr>
      <w:r>
        <w:t xml:space="preserve">Given the sensitive nature of business data, this</w:t>
      </w:r>
      <w:r>
        <w:t xml:space="preserve"> </w:t>
      </w:r>
      <w:r>
        <w:rPr>
          <w:bCs/>
          <w:b/>
        </w:rPr>
        <w:t xml:space="preserve">Experiment Protocol</w:t>
      </w:r>
      <w:r>
        <w:t xml:space="preserve"> </w:t>
      </w:r>
      <w:r>
        <w:t xml:space="preserve">strictly adheres to the General Data Protection Regulation (GDPR) as enforced in the</w:t>
      </w:r>
      <w:r>
        <w:t xml:space="preserve"> </w:t>
      </w:r>
      <w:r>
        <w:rPr>
          <w:bCs/>
          <w:b/>
        </w:rPr>
        <w:t xml:space="preserve">Netherlands</w:t>
      </w:r>
      <w:r>
        <w:t xml:space="preserve">. All data collected will be anonymized and stored on secure servers located within the EU.</w:t>
      </w:r>
    </w:p>
    <w:p>
      <w:pPr>
        <w:pStyle w:val="BodyText"/>
      </w:pPr>
      <w:r>
        <w:t xml:space="preserve">Participation is voluntary, and companies retain the right to withdraw from the experiment at any time without penalty. Informed consent will be obtained from the legal representatives of each participating SME prior to the commencement of the study.</w:t>
      </w:r>
    </w:p>
    <w:bookmarkEnd w:id="28"/>
    <w:bookmarkStart w:id="29" w:name="timeline"/>
    <w:p>
      <w:pPr>
        <w:pStyle w:val="Heading2"/>
      </w:pPr>
      <w:r>
        <w:t xml:space="preserve">6. Timeline</w:t>
      </w:r>
    </w:p>
    <w:p>
      <w:pPr>
        <w:numPr>
          <w:ilvl w:val="0"/>
          <w:numId w:val="1005"/>
        </w:numPr>
        <w:pStyle w:val="Compact"/>
      </w:pPr>
      <w:r>
        <w:rPr>
          <w:bCs/>
          <w:b/>
        </w:rPr>
        <w:t xml:space="preserve">Month 1:</w:t>
      </w:r>
      <w:r>
        <w:t xml:space="preserve"> </w:t>
      </w:r>
      <w:r>
        <w:t xml:space="preserve">Recruitment and randomization of participants in Amsterdam.</w:t>
      </w:r>
    </w:p>
    <w:p>
      <w:pPr>
        <w:numPr>
          <w:ilvl w:val="0"/>
          <w:numId w:val="1005"/>
        </w:numPr>
        <w:pStyle w:val="Compact"/>
      </w:pPr>
      <w:r>
        <w:rPr>
          <w:bCs/>
          <w:b/>
        </w:rPr>
        <w:t xml:space="preserve">Month 2:</w:t>
      </w:r>
      <w:r>
        <w:t xml:space="preserve"> </w:t>
      </w:r>
      <w:r>
        <w:t xml:space="preserve">Baseline data collection (T0).</w:t>
      </w:r>
    </w:p>
    <w:p>
      <w:pPr>
        <w:numPr>
          <w:ilvl w:val="0"/>
          <w:numId w:val="1005"/>
        </w:numPr>
        <w:pStyle w:val="Compact"/>
      </w:pPr>
      <w:r>
        <w:rPr>
          <w:bCs/>
          <w:b/>
        </w:rPr>
        <w:t xml:space="preserve">Months 3-5:</w:t>
      </w:r>
      <w:r>
        <w:t xml:space="preserve"> </w:t>
      </w:r>
      <w:r>
        <w:t xml:space="preserve">Implementation of consulting interventions.</w:t>
      </w:r>
    </w:p>
    <w:p>
      <w:pPr>
        <w:numPr>
          <w:ilvl w:val="0"/>
          <w:numId w:val="1005"/>
        </w:numPr>
        <w:pStyle w:val="Compact"/>
      </w:pPr>
      <w:r>
        <w:rPr>
          <w:bCs/>
          <w:b/>
        </w:rPr>
        <w:t xml:space="preserve">Month 6:</w:t>
      </w:r>
      <w:r>
        <w:t xml:space="preserve"> </w:t>
      </w:r>
      <w:r>
        <w:t xml:space="preserve">Mid-point data collection (T1).</w:t>
      </w:r>
    </w:p>
    <w:p>
      <w:pPr>
        <w:numPr>
          <w:ilvl w:val="0"/>
          <w:numId w:val="1005"/>
        </w:numPr>
        <w:pStyle w:val="Compact"/>
      </w:pPr>
      <w:r>
        <w:rPr>
          <w:bCs/>
          <w:b/>
        </w:rPr>
        <w:t xml:space="preserve">Month 7:</w:t>
      </w:r>
      <w:r>
        <w:t xml:space="preserve"> </w:t>
      </w:r>
      <w:r>
        <w:t xml:space="preserve">Post-intervention data collection (T2) and analysis.</w:t>
      </w:r>
    </w:p>
    <w:p>
      <w:pPr>
        <w:numPr>
          <w:ilvl w:val="0"/>
          <w:numId w:val="1005"/>
        </w:numPr>
        <w:pStyle w:val="Compact"/>
      </w:pPr>
      <w:r>
        <w:rPr>
          <w:bCs/>
          <w:b/>
        </w:rPr>
        <w:t xml:space="preserve">Month 8:</w:t>
      </w:r>
      <w:r>
        <w:t xml:space="preserve"> </w:t>
      </w:r>
      <w:r>
        <w:t xml:space="preserve">Reporting and dissemination of findings.</w:t>
      </w:r>
    </w:p>
    <w:bookmarkEnd w:id="29"/>
    <w:bookmarkStart w:id="30" w:name="risk-management"/>
    <w:p>
      <w:pPr>
        <w:pStyle w:val="Heading2"/>
      </w:pPr>
      <w:r>
        <w:t xml:space="preserve">7. Risk Management</w:t>
      </w:r>
    </w:p>
    <w:p>
      <w:pPr>
        <w:pStyle w:val="FirstParagraph"/>
      </w:pPr>
      <w:r>
        <w:t xml:space="preserve">Potential risks include the disruption of normal business operations due to the intensity of the consulting engagement. To mitigate this, the</w:t>
      </w:r>
      <w:r>
        <w:t xml:space="preserve"> </w:t>
      </w:r>
      <w:r>
        <w:rPr>
          <w:bCs/>
          <w:b/>
        </w:rPr>
        <w:t xml:space="preserve">Business Consultant</w:t>
      </w:r>
      <w:r>
        <w:t xml:space="preserve"> </w:t>
      </w:r>
      <w:r>
        <w:t xml:space="preserve">is required to schedule interventions during off-peak hours where possible and to maintain open communication channels with the client's management team. Additionally, market volatility in Amsterdam may affect results; therefore, macroeconomic indicators will be monitored and used as control variables in the statistical analysis.</w:t>
      </w:r>
    </w:p>
    <w:bookmarkEnd w:id="30"/>
    <w:bookmarkStart w:id="31"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comprehensive framework for evaluating the tangible benefits of business consulting in the unique economic landscape of</w:t>
      </w:r>
      <w:r>
        <w:t xml:space="preserve"> </w:t>
      </w:r>
      <w:r>
        <w:rPr>
          <w:bCs/>
          <w:b/>
        </w:rPr>
        <w:t xml:space="preserve">Netherlands Amsterdam</w:t>
      </w:r>
      <w:r>
        <w:t xml:space="preserve">. By rigorously testing the impact of professional advisory services, this study aims to contribute valuable insights to both academic literature and practical business management, ultimately fostering a more efficient and resilient local economy.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Amsterdam</dc:title>
  <dc:creator/>
  <dc:language>en</dc:language>
  <cp:keywords/>
  <dcterms:created xsi:type="dcterms:W3CDTF">2026-10-10T08:34:51Z</dcterms:created>
  <dcterms:modified xsi:type="dcterms:W3CDTF">2026-10-10T08:34:51Z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