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New</w:t>
      </w:r>
      <w:r>
        <w:t xml:space="preserve"> </w:t>
      </w:r>
      <w:r>
        <w:t xml:space="preserve">Zealand</w:t>
      </w:r>
      <w:r>
        <w:t xml:space="preserve"> </w:t>
      </w:r>
      <w:r>
        <w:t xml:space="preserve">Auckland</w:t>
      </w:r>
    </w:p>
    <w:bookmarkStart w:id="34" w:name="Xe7a83c280f91203bf1ddaac01aa430bbbf6b1d3"/>
    <w:p>
      <w:pPr>
        <w:pStyle w:val="Heading1"/>
      </w:pPr>
      <w:r>
        <w:t xml:space="preserve">Experiment Protocol: Assessing the Impact of Business Consultant Interventions on SME Performance in New Zealand Auckland</w:t>
      </w:r>
    </w:p>
    <w:bookmarkStart w:id="20" w:name="introduction-and-background"/>
    <w:p>
      <w:pPr>
        <w:pStyle w:val="Heading2"/>
      </w:pPr>
      <w:r>
        <w:t xml:space="preserve">1. Introduction and Background</w:t>
      </w:r>
    </w:p>
    <w:p>
      <w:pPr>
        <w:pStyle w:val="FirstParagraph"/>
      </w:pPr>
      <w:r>
        <w:t xml:space="preserve">The business landscape in New Zealand Auckland is dynamic, characterized by a high concentration of small and medium-sized enterprises (SMEs), a diverse cultural makeup, and rapid technological adoption. Many SMEs in Auckland face challenges related to strategic planning, operational efficiency, market expansion, and regulatory compliance. Business consultants are frequently engaged to address these challenges, yet there is limited empirical evidence on the effectiveness of their interventions in this specific regional context.</w:t>
      </w:r>
    </w:p>
    <w:p>
      <w:pPr>
        <w:pStyle w:val="BodyText"/>
      </w:pPr>
      <w:r>
        <w:t xml:space="preserve">This Experiment Protocol outlines a structured approach to evaluate the impact of Business Consultant engagements on key performance indicators (KPIs) of SMEs operating in New Zealand Auckland. The protocol is designed to provide actionable insights for business owners, consultants, policymakers, and academic researchers.</w:t>
      </w:r>
    </w:p>
    <w:bookmarkEnd w:id="20"/>
    <w:bookmarkStart w:id="21"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measure the effect of Business Consultant interventions on financial performance (e.g., revenue growth, profit margins) of SMEs in New Zealand Auckland.</w:t>
      </w:r>
    </w:p>
    <w:p>
      <w:pPr>
        <w:numPr>
          <w:ilvl w:val="0"/>
          <w:numId w:val="1001"/>
        </w:numPr>
        <w:pStyle w:val="Compact"/>
      </w:pPr>
      <w:r>
        <w:t xml:space="preserve">To assess changes in operational efficiency, including process optimization and resource utilization.</w:t>
      </w:r>
    </w:p>
    <w:p>
      <w:pPr>
        <w:numPr>
          <w:ilvl w:val="0"/>
          <w:numId w:val="1001"/>
        </w:numPr>
        <w:pStyle w:val="Compact"/>
      </w:pPr>
      <w:r>
        <w:t xml:space="preserve">To evaluate improvements in strategic clarity, leadership capability, and employee engagement.</w:t>
      </w:r>
    </w:p>
    <w:p>
      <w:pPr>
        <w:numPr>
          <w:ilvl w:val="0"/>
          <w:numId w:val="1001"/>
        </w:numPr>
        <w:pStyle w:val="Compact"/>
      </w:pPr>
      <w:r>
        <w:t xml:space="preserve">To identify contextual factors in New Zealand Auckland that influence the success of consulting engagements.</w:t>
      </w:r>
    </w:p>
    <w:bookmarkEnd w:id="21"/>
    <w:bookmarkStart w:id="22" w:name="hypotheses"/>
    <w:p>
      <w:pPr>
        <w:pStyle w:val="Heading2"/>
      </w:pPr>
      <w:r>
        <w:t xml:space="preserve">3. Hypotheses</w:t>
      </w:r>
    </w:p>
    <w:p>
      <w:pPr>
        <w:pStyle w:val="FirstParagraph"/>
      </w:pPr>
      <w:r>
        <w:rPr>
          <w:bCs/>
          <w:b/>
        </w:rPr>
        <w:t xml:space="preserve">H1:</w:t>
      </w:r>
      <w:r>
        <w:t xml:space="preserve"> </w:t>
      </w:r>
      <w:r>
        <w:t xml:space="preserve">SMEs in New Zealand Auckland that engage a Business Consultant will demonstrate statistically significant improvements in financial performance compared to a control group over a 12-month period.</w:t>
      </w:r>
    </w:p>
    <w:p>
      <w:pPr>
        <w:pStyle w:val="BodyText"/>
      </w:pPr>
      <w:r>
        <w:rPr>
          <w:bCs/>
          <w:b/>
        </w:rPr>
        <w:t xml:space="preserve">H2:</w:t>
      </w:r>
      <w:r>
        <w:t xml:space="preserve"> </w:t>
      </w:r>
      <w:r>
        <w:t xml:space="preserve">The effectiveness of Business Consultant interventions is moderated by the firm’s size, industry sector, and the consultant’s local market knowledge.</w:t>
      </w:r>
    </w:p>
    <w:p>
      <w:pPr>
        <w:pStyle w:val="BodyText"/>
      </w:pPr>
      <w:r>
        <w:rPr>
          <w:bCs/>
          <w:b/>
        </w:rPr>
        <w:t xml:space="preserve">H3:</w:t>
      </w:r>
      <w:r>
        <w:t xml:space="preserve"> </w:t>
      </w:r>
      <w:r>
        <w:t xml:space="preserve">SMEs that actively implement consultant recommendations will show greater improvements in operational efficiency and employee engagement than those with passive implementation.</w:t>
      </w:r>
    </w:p>
    <w:bookmarkEnd w:id="22"/>
    <w:bookmarkStart w:id="28"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use a quasi-experimental design with a treatment group (SMEs engaging a Business Consultant) and a control group (SMEs not engaging a consultant during the study period). Random assignment is not feasible due to ethical and practical constraints, so propensity score matching will be used to ensure comparability between groups.</w:t>
      </w:r>
    </w:p>
    <w:bookmarkEnd w:id="23"/>
    <w:bookmarkStart w:id="24" w:name="participants"/>
    <w:p>
      <w:pPr>
        <w:pStyle w:val="Heading3"/>
      </w:pPr>
      <w:r>
        <w:t xml:space="preserve">4.2 Participants</w:t>
      </w:r>
    </w:p>
    <w:p>
      <w:pPr>
        <w:pStyle w:val="FirstParagraph"/>
      </w:pPr>
      <w:r>
        <w:t xml:space="preserve">The target population consists of SMEs registered and operating in New Zealand Auckland with 10–200 employees. Participants will be recruited through local business networks, chambers of commerce, and professional associations.</w:t>
      </w:r>
    </w:p>
    <w:p>
      <w:pPr>
        <w:pStyle w:val="BodyText"/>
      </w:pPr>
      <w:r>
        <w:rPr>
          <w:bCs/>
          <w:b/>
        </w:rPr>
        <w:t xml:space="preserve">Inclusion Criteria:</w:t>
      </w:r>
    </w:p>
    <w:p>
      <w:pPr>
        <w:numPr>
          <w:ilvl w:val="0"/>
          <w:numId w:val="1002"/>
        </w:numPr>
        <w:pStyle w:val="Compact"/>
      </w:pPr>
      <w:r>
        <w:t xml:space="preserve">Registered business in New Zealand Auckland for at least 2 years.</w:t>
      </w:r>
    </w:p>
    <w:p>
      <w:pPr>
        <w:numPr>
          <w:ilvl w:val="0"/>
          <w:numId w:val="1002"/>
        </w:numPr>
        <w:pStyle w:val="Compact"/>
      </w:pPr>
      <w:r>
        <w:t xml:space="preserve">Willingness to share anonymized financial and operational data.</w:t>
      </w:r>
    </w:p>
    <w:p>
      <w:pPr>
        <w:numPr>
          <w:ilvl w:val="0"/>
          <w:numId w:val="1002"/>
        </w:numPr>
        <w:pStyle w:val="Compact"/>
      </w:pPr>
      <w:r>
        <w:t xml:space="preserve">For the treatment group: Commitment to engage a qualified Business Consultant for a minimum of 6 months.</w:t>
      </w:r>
    </w:p>
    <w:bookmarkEnd w:id="24"/>
    <w:bookmarkStart w:id="25" w:name="intervention"/>
    <w:p>
      <w:pPr>
        <w:pStyle w:val="Heading3"/>
      </w:pPr>
      <w:r>
        <w:t xml:space="preserve">4.3 Intervention</w:t>
      </w:r>
    </w:p>
    <w:p>
      <w:pPr>
        <w:pStyle w:val="FirstParagraph"/>
      </w:pPr>
      <w:r>
        <w:t xml:space="preserve">The treatment group will engage a Business Consultant selected from a pre-approved list of professionals with experience in the New Zealand Auckland market. The consultant’s scope will include:</w:t>
      </w:r>
    </w:p>
    <w:p>
      <w:pPr>
        <w:numPr>
          <w:ilvl w:val="0"/>
          <w:numId w:val="1003"/>
        </w:numPr>
        <w:pStyle w:val="Compact"/>
      </w:pPr>
      <w:r>
        <w:t xml:space="preserve">Strategic planning and goal setting.</w:t>
      </w:r>
    </w:p>
    <w:p>
      <w:pPr>
        <w:numPr>
          <w:ilvl w:val="0"/>
          <w:numId w:val="1003"/>
        </w:numPr>
        <w:pStyle w:val="Compact"/>
      </w:pPr>
      <w:r>
        <w:t xml:space="preserve">Operational process review and optimization.</w:t>
      </w:r>
    </w:p>
    <w:p>
      <w:pPr>
        <w:numPr>
          <w:ilvl w:val="0"/>
          <w:numId w:val="1003"/>
        </w:numPr>
        <w:pStyle w:val="Compact"/>
      </w:pPr>
      <w:r>
        <w:t xml:space="preserve">Market analysis and growth strategy.</w:t>
      </w:r>
    </w:p>
    <w:p>
      <w:pPr>
        <w:numPr>
          <w:ilvl w:val="0"/>
          <w:numId w:val="1003"/>
        </w:numPr>
        <w:pStyle w:val="Compact"/>
      </w:pPr>
      <w:r>
        <w:t xml:space="preserve">Leadership and team development support.</w:t>
      </w:r>
    </w:p>
    <w:p>
      <w:pPr>
        <w:pStyle w:val="FirstParagraph"/>
      </w:pPr>
      <w:r>
        <w:t xml:space="preserve">The control group will continue business as usual without formal consulting support.</w:t>
      </w:r>
    </w:p>
    <w:bookmarkEnd w:id="25"/>
    <w:bookmarkStart w:id="26" w:name="data-collection"/>
    <w:p>
      <w:pPr>
        <w:pStyle w:val="Heading3"/>
      </w:pPr>
      <w:r>
        <w:t xml:space="preserve">4.4 Data Collection</w:t>
      </w:r>
    </w:p>
    <w:p>
      <w:pPr>
        <w:pStyle w:val="FirstParagraph"/>
      </w:pPr>
      <w:r>
        <w:t xml:space="preserve">Data will be collected at three time points: baseline (T0), mid-intervention (T1, 6 months), and post-intervention (T2, 12 months).</w:t>
      </w:r>
    </w:p>
    <w:p>
      <w:pPr>
        <w:pStyle w:val="BodyText"/>
      </w:pPr>
      <w:r>
        <w:rPr>
          <w:bCs/>
          <w:b/>
        </w:rPr>
        <w:t xml:space="preserve">Quantitative Data:</w:t>
      </w:r>
    </w:p>
    <w:p>
      <w:pPr>
        <w:numPr>
          <w:ilvl w:val="0"/>
          <w:numId w:val="1004"/>
        </w:numPr>
        <w:pStyle w:val="Compact"/>
      </w:pPr>
      <w:r>
        <w:t xml:space="preserve">Financial metrics: Revenue, profit margins, cost savings.</w:t>
      </w:r>
    </w:p>
    <w:p>
      <w:pPr>
        <w:numPr>
          <w:ilvl w:val="0"/>
          <w:numId w:val="1004"/>
        </w:numPr>
        <w:pStyle w:val="Compact"/>
      </w:pPr>
      <w:r>
        <w:t xml:space="preserve">Operational metrics: Process cycle times, resource utilization rates.</w:t>
      </w:r>
    </w:p>
    <w:p>
      <w:pPr>
        <w:numPr>
          <w:ilvl w:val="0"/>
          <w:numId w:val="1004"/>
        </w:numPr>
        <w:pStyle w:val="Compact"/>
      </w:pPr>
      <w:r>
        <w:t xml:space="preserve">Employee engagement scores from standardized surveys.</w:t>
      </w:r>
    </w:p>
    <w:p>
      <w:pPr>
        <w:pStyle w:val="FirstParagraph"/>
      </w:pPr>
      <w:r>
        <w:rPr>
          <w:bCs/>
          <w:b/>
        </w:rPr>
        <w:t xml:space="preserve">Qualitative Data:</w:t>
      </w:r>
    </w:p>
    <w:p>
      <w:pPr>
        <w:numPr>
          <w:ilvl w:val="0"/>
          <w:numId w:val="1005"/>
        </w:numPr>
        <w:pStyle w:val="Compact"/>
      </w:pPr>
      <w:r>
        <w:t xml:space="preserve">Semi-structured interviews with business owners and key staff.</w:t>
      </w:r>
    </w:p>
    <w:p>
      <w:pPr>
        <w:numPr>
          <w:ilvl w:val="0"/>
          <w:numId w:val="1005"/>
        </w:numPr>
        <w:pStyle w:val="Compact"/>
      </w:pPr>
      <w:r>
        <w:t xml:space="preserve">Consultant reports and implementation logs.</w:t>
      </w:r>
    </w:p>
    <w:bookmarkEnd w:id="26"/>
    <w:bookmarkStart w:id="27" w:name="variables"/>
    <w:p>
      <w:pPr>
        <w:pStyle w:val="Heading3"/>
      </w:pPr>
      <w:r>
        <w:t xml:space="preserve">4.5 Variables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Variable Type</w:t>
            </w:r>
          </w:p>
        </w:tc>
        <w:tc>
          <w:tcPr/>
          <w:p>
            <w:pPr>
              <w:pStyle w:val="Compact"/>
              <w:jc w:val="left"/>
            </w:pPr>
            <w:r>
              <w:t xml:space="preserve">Description</w:t>
            </w:r>
          </w:p>
        </w:tc>
      </w:tr>
      <w:tr>
        <w:tc>
          <w:tcPr/>
          <w:p>
            <w:pPr>
              <w:pStyle w:val="Compact"/>
              <w:jc w:val="left"/>
            </w:pPr>
            <w:r>
              <w:t xml:space="preserve">Independent Variable</w:t>
            </w:r>
          </w:p>
        </w:tc>
        <w:tc>
          <w:tcPr/>
          <w:p>
            <w:pPr>
              <w:pStyle w:val="Compact"/>
              <w:jc w:val="left"/>
            </w:pPr>
            <w:r>
              <w:t xml:space="preserve">Engagement with a Business Consultant (Yes/No)</w:t>
            </w:r>
          </w:p>
        </w:tc>
      </w:tr>
      <w:tr>
        <w:tc>
          <w:tcPr/>
          <w:p>
            <w:pPr>
              <w:pStyle w:val="Compact"/>
              <w:jc w:val="left"/>
            </w:pPr>
            <w:r>
              <w:t xml:space="preserve">Dependent Variables</w:t>
            </w:r>
          </w:p>
        </w:tc>
        <w:tc>
          <w:tcPr/>
          <w:p>
            <w:pPr>
              <w:pStyle w:val="Compact"/>
              <w:jc w:val="left"/>
            </w:pPr>
            <w:r>
              <w:t xml:space="preserve">Financial performance, operational efficiency, strategic clarity, employee engagement</w:t>
            </w:r>
          </w:p>
        </w:tc>
      </w:tr>
      <w:tr>
        <w:tc>
          <w:tcPr/>
          <w:p>
            <w:pPr>
              <w:pStyle w:val="Compact"/>
              <w:jc w:val="left"/>
            </w:pPr>
            <w:r>
              <w:t xml:space="preserve">Moderating Variables</w:t>
            </w:r>
          </w:p>
        </w:tc>
        <w:tc>
          <w:tcPr/>
          <w:p>
            <w:pPr>
              <w:pStyle w:val="Compact"/>
              <w:jc w:val="left"/>
            </w:pPr>
            <w:r>
              <w:t xml:space="preserve">Firm size, industry sector, consultant expertise, implementation intensity</w:t>
            </w:r>
          </w:p>
        </w:tc>
      </w:tr>
      <w:tr>
        <w:tc>
          <w:tcPr/>
          <w:p>
            <w:pPr>
              <w:pStyle w:val="Compact"/>
              <w:jc w:val="left"/>
            </w:pPr>
            <w:r>
              <w:t xml:space="preserve">Control Variables</w:t>
            </w:r>
          </w:p>
        </w:tc>
        <w:tc>
          <w:tcPr/>
          <w:p>
            <w:pPr>
              <w:pStyle w:val="Compact"/>
              <w:jc w:val="left"/>
            </w:pPr>
            <w:r>
              <w:t xml:space="preserve">Baseline performance, market conditions, regulatory changes</w:t>
            </w:r>
          </w:p>
        </w:tc>
      </w:tr>
    </w:tbl>
    <w:bookmarkEnd w:id="27"/>
    <w:bookmarkEnd w:id="28"/>
    <w:bookmarkStart w:id="29" w:name="ethical-considerations"/>
    <w:p>
      <w:pPr>
        <w:pStyle w:val="Heading2"/>
      </w:pPr>
      <w:r>
        <w:t xml:space="preserve">5. Ethical Considerations</w:t>
      </w:r>
    </w:p>
    <w:p>
      <w:pPr>
        <w:pStyle w:val="FirstParagraph"/>
      </w:pPr>
      <w:r>
        <w:t xml:space="preserve">This experiment will adhere to the ethical guidelines set by the New Zealand Code of Health and Disability Services Complaints and the University of Auckland’s Human Participants Ethics Committee (if applicable). Key considerations include:</w:t>
      </w:r>
    </w:p>
    <w:p>
      <w:pPr>
        <w:numPr>
          <w:ilvl w:val="0"/>
          <w:numId w:val="1006"/>
        </w:numPr>
        <w:pStyle w:val="Compact"/>
      </w:pPr>
      <w:r>
        <w:t xml:space="preserve">Informed consent from all participating businesses and employees.</w:t>
      </w:r>
    </w:p>
    <w:p>
      <w:pPr>
        <w:numPr>
          <w:ilvl w:val="0"/>
          <w:numId w:val="1006"/>
        </w:numPr>
        <w:pStyle w:val="Compact"/>
      </w:pPr>
      <w:r>
        <w:t xml:space="preserve">Confidentiality and anonymization of all data.</w:t>
      </w:r>
    </w:p>
    <w:p>
      <w:pPr>
        <w:numPr>
          <w:ilvl w:val="0"/>
          <w:numId w:val="1006"/>
        </w:numPr>
        <w:pStyle w:val="Compact"/>
      </w:pPr>
      <w:r>
        <w:t xml:space="preserve">Voluntary participation with the right to withdraw at any time.</w:t>
      </w:r>
    </w:p>
    <w:p>
      <w:pPr>
        <w:numPr>
          <w:ilvl w:val="0"/>
          <w:numId w:val="1006"/>
        </w:numPr>
        <w:pStyle w:val="Compact"/>
      </w:pPr>
      <w:r>
        <w:t xml:space="preserve">Minimization of risk and disruption to business operations.</w:t>
      </w:r>
    </w:p>
    <w:bookmarkEnd w:id="29"/>
    <w:bookmarkStart w:id="30" w:name="data-analysis"/>
    <w:p>
      <w:pPr>
        <w:pStyle w:val="Heading2"/>
      </w:pPr>
      <w:r>
        <w:t xml:space="preserve">6. Data Analysis</w:t>
      </w:r>
    </w:p>
    <w:p>
      <w:pPr>
        <w:pStyle w:val="FirstParagraph"/>
      </w:pPr>
      <w:r>
        <w:t xml:space="preserve">Quantitative data will be analyzed using statistical software (e.g., R, SPSS). Techniques include:</w:t>
      </w:r>
    </w:p>
    <w:p>
      <w:pPr>
        <w:numPr>
          <w:ilvl w:val="0"/>
          <w:numId w:val="1007"/>
        </w:numPr>
        <w:pStyle w:val="Compact"/>
      </w:pPr>
      <w:r>
        <w:t xml:space="preserve">Propensity score matching to balance treatment and control groups.</w:t>
      </w:r>
    </w:p>
    <w:p>
      <w:pPr>
        <w:numPr>
          <w:ilvl w:val="0"/>
          <w:numId w:val="1007"/>
        </w:numPr>
        <w:pStyle w:val="Compact"/>
      </w:pPr>
      <w:r>
        <w:t xml:space="preserve">Difference-in-differences analysis to estimate the effect of consulting interventions.</w:t>
      </w:r>
    </w:p>
    <w:p>
      <w:pPr>
        <w:numPr>
          <w:ilvl w:val="0"/>
          <w:numId w:val="1007"/>
        </w:numPr>
        <w:pStyle w:val="Compact"/>
      </w:pPr>
      <w:r>
        <w:t xml:space="preserve">Regression models to assess moderating and control variables.</w:t>
      </w:r>
    </w:p>
    <w:p>
      <w:pPr>
        <w:pStyle w:val="FirstParagraph"/>
      </w:pPr>
      <w:r>
        <w:t xml:space="preserve">Qualitative data will be analyzed using thematic analysis to identify patterns, challenges, and success factors specific to the New Zealand Auckland context.</w:t>
      </w:r>
    </w:p>
    <w:bookmarkEnd w:id="30"/>
    <w:bookmarkStart w:id="31" w:name="timeline"/>
    <w:p>
      <w:pPr>
        <w:pStyle w:val="Heading2"/>
      </w:pPr>
      <w:r>
        <w:t xml:space="preserve">7. Timeline</w:t>
      </w:r>
    </w:p>
    <w:p>
      <w:pPr>
        <w:numPr>
          <w:ilvl w:val="0"/>
          <w:numId w:val="1008"/>
        </w:numPr>
        <w:pStyle w:val="Compact"/>
      </w:pPr>
      <w:r>
        <w:t xml:space="preserve">Months 1–2: Recruitment and baseline data collection.</w:t>
      </w:r>
    </w:p>
    <w:p>
      <w:pPr>
        <w:numPr>
          <w:ilvl w:val="0"/>
          <w:numId w:val="1008"/>
        </w:numPr>
        <w:pStyle w:val="Compact"/>
      </w:pPr>
      <w:r>
        <w:t xml:space="preserve">Months 3–8: Consulting intervention and mid-point data collection.</w:t>
      </w:r>
    </w:p>
    <w:p>
      <w:pPr>
        <w:numPr>
          <w:ilvl w:val="0"/>
          <w:numId w:val="1008"/>
        </w:numPr>
        <w:pStyle w:val="Compact"/>
      </w:pPr>
      <w:r>
        <w:t xml:space="preserve">Months 9–12: Post-intervention data collection and analysis.</w:t>
      </w:r>
    </w:p>
    <w:p>
      <w:pPr>
        <w:numPr>
          <w:ilvl w:val="0"/>
          <w:numId w:val="1008"/>
        </w:numPr>
        <w:pStyle w:val="Compact"/>
      </w:pPr>
      <w:r>
        <w:t xml:space="preserve">Months 13–14: Reporting and dissemination of findings.</w:t>
      </w:r>
    </w:p>
    <w:bookmarkEnd w:id="31"/>
    <w:bookmarkStart w:id="32" w:name="expected-outcomes-and-impact"/>
    <w:p>
      <w:pPr>
        <w:pStyle w:val="Heading2"/>
      </w:pPr>
      <w:r>
        <w:t xml:space="preserve">8. Expected Outcomes and Impact</w:t>
      </w:r>
    </w:p>
    <w:p>
      <w:pPr>
        <w:pStyle w:val="FirstParagraph"/>
      </w:pPr>
      <w:r>
        <w:t xml:space="preserve">This Experiment Protocol aims to generate robust evidence on the value of Business Consultant engagements for SMEs in New Zealand Auckland. Expected outcomes include:</w:t>
      </w:r>
    </w:p>
    <w:p>
      <w:pPr>
        <w:numPr>
          <w:ilvl w:val="0"/>
          <w:numId w:val="1009"/>
        </w:numPr>
        <w:pStyle w:val="Compact"/>
      </w:pPr>
      <w:r>
        <w:t xml:space="preserve">Clear metrics on the financial and operational benefits of consulting.</w:t>
      </w:r>
    </w:p>
    <w:p>
      <w:pPr>
        <w:numPr>
          <w:ilvl w:val="0"/>
          <w:numId w:val="1009"/>
        </w:numPr>
        <w:pStyle w:val="Compact"/>
      </w:pPr>
      <w:r>
        <w:t xml:space="preserve">Guidelines for selecting and working with consultants in the Auckland market.</w:t>
      </w:r>
    </w:p>
    <w:p>
      <w:pPr>
        <w:numPr>
          <w:ilvl w:val="0"/>
          <w:numId w:val="1009"/>
        </w:numPr>
        <w:pStyle w:val="Compact"/>
      </w:pPr>
      <w:r>
        <w:t xml:space="preserve">Policy recommendations to support SME growth through professional advisory services.</w:t>
      </w:r>
    </w:p>
    <w:p>
      <w:pPr>
        <w:pStyle w:val="FirstParagraph"/>
      </w:pPr>
      <w:r>
        <w:t xml:space="preserve">By contextualizing the research within New Zealand Auckland, this protocol ensures relevance to local business conditions, cultural dynamics, and regulatory environments.</w:t>
      </w:r>
    </w:p>
    <w:bookmarkEnd w:id="32"/>
    <w:bookmarkStart w:id="33" w:name="references"/>
    <w:p>
      <w:pPr>
        <w:pStyle w:val="Heading2"/>
      </w:pPr>
      <w:r>
        <w:t xml:space="preserve">9. References</w:t>
      </w:r>
    </w:p>
    <w:p>
      <w:pPr>
        <w:pStyle w:val="FirstParagraph"/>
      </w:pPr>
      <w:r>
        <w:t xml:space="preserve">(References to be included based on relevant academic literature, industry reports, and New Zealand-specific business studies.)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New Zealand Auckland</dc:title>
  <dc:creator/>
  <dc:language>en</dc:language>
  <cp:keywords/>
  <dcterms:created xsi:type="dcterms:W3CDTF">2026-10-10T08:12:31Z</dcterms:created>
  <dcterms:modified xsi:type="dcterms:W3CDTF">2026-10-10T08:12:31Z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