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Qatar</w:t>
      </w:r>
      <w:r>
        <w:t xml:space="preserve"> </w:t>
      </w:r>
      <w:r>
        <w:t xml:space="preserve">Doha</w:t>
      </w:r>
    </w:p>
    <w:bookmarkStart w:id="20" w:name="Xbe679af4daf2fc49058f59dee51a67adfd99de4"/>
    <w:p>
      <w:pPr>
        <w:pStyle w:val="Heading1"/>
      </w:pPr>
      <w:r>
        <w:t xml:space="preserve">Experiment Protocol: Evaluating the Impact of Business Consultant Interventions on SME Growth in Qatar Doha</w:t>
      </w:r>
    </w:p>
    <w:p>
      <w:pPr>
        <w:pStyle w:val="FirstParagraph"/>
      </w:pPr>
      <w:r>
        <w:rPr>
          <w:bCs/>
          <w:b/>
        </w:rPr>
        <w:t xml:space="preserve">Protocol ID:</w:t>
      </w:r>
      <w:r>
        <w:t xml:space="preserve"> </w:t>
      </w:r>
      <w:r>
        <w:t xml:space="preserve">QC-BIZ-2024-001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Doha, Qatar</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effectiveness of professional Business Consultant services on small and medium-sized enterprises (SMEs) operating within the commercial landscape of Qatar Doha. As Qatar continues to diversify its economy under the Qatar National Vision 2030, the role of external advisory services has become increasingly critical. This study aims to provide empirical evidence on how structured consulting engagements influence operational efficiency, revenue growth, and strategic alignment in the local market.</w:t>
      </w:r>
    </w:p>
    <w:p>
      <w:pPr>
        <w:pStyle w:val="BodyText"/>
      </w:pPr>
      <w:r>
        <w:t xml:space="preserve">The unique economic environment of Qatar Doha, characterized by rapid infrastructure development, a growing private sector, and specific regulatory frameworks, necessitates a tailored approach to evaluating consulting outcomes. This protocol ensures that the experiment is conducted with scientific rigor, cultural sensitivity, and adherence to local business practices.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quantitative impact of Business Consultant interventions on key performance indicators (KPIs) of SMEs in Qatar Doha.</w:t>
      </w:r>
    </w:p>
    <w:p>
      <w:pPr>
        <w:numPr>
          <w:ilvl w:val="0"/>
          <w:numId w:val="1001"/>
        </w:numPr>
        <w:pStyle w:val="Compact"/>
      </w:pPr>
      <w:r>
        <w:t xml:space="preserve">To assess the qualitative improvements in strategic decision-making and organizational culture post-consultation.</w:t>
      </w:r>
    </w:p>
    <w:p>
      <w:pPr>
        <w:numPr>
          <w:ilvl w:val="0"/>
          <w:numId w:val="1001"/>
        </w:numPr>
        <w:pStyle w:val="Compact"/>
      </w:pPr>
      <w:r>
        <w:t xml:space="preserve">To identify best practices for consulting engagements that align with the cultural and regulatory context of Qatar.</w:t>
      </w:r>
    </w:p>
    <w:p>
      <w:pPr>
        <w:numPr>
          <w:ilvl w:val="0"/>
          <w:numId w:val="1001"/>
        </w:numPr>
        <w:pStyle w:val="Compact"/>
      </w:pPr>
      <w:r>
        <w:t xml:space="preserve">To provide actionable insights for policymakers and business leaders in Qatar Doha regarding the value of professional consulting services.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Participating SMEs will be randomly assigned to either an intervention group (receiving Business Consultant services) or a control group (continuing with standard operations without external consulting).</w:t>
      </w:r>
    </w:p>
    <w:bookmarkEnd w:id="23"/>
    <w:bookmarkStart w:id="24" w:name="participants"/>
    <w:p>
      <w:pPr>
        <w:pStyle w:val="Heading3"/>
      </w:pPr>
      <w:r>
        <w:t xml:space="preserve">3.2 Participants</w:t>
      </w:r>
    </w:p>
    <w:p>
      <w:pPr>
        <w:pStyle w:val="FirstParagraph"/>
      </w:pPr>
      <w:r>
        <w:t xml:space="preserve">The target population consists of SMEs registered and operating in Qatar Doha across various sectors, including retail, technology, hospitality, and professional services. Inclusion criteria are:</w:t>
      </w:r>
    </w:p>
    <w:p>
      <w:pPr>
        <w:numPr>
          <w:ilvl w:val="0"/>
          <w:numId w:val="1002"/>
        </w:numPr>
        <w:pStyle w:val="Compact"/>
      </w:pPr>
      <w:r>
        <w:t xml:space="preserve">Established for at least two years.</w:t>
      </w:r>
    </w:p>
    <w:p>
      <w:pPr>
        <w:numPr>
          <w:ilvl w:val="0"/>
          <w:numId w:val="1002"/>
        </w:numPr>
        <w:pStyle w:val="Compact"/>
      </w:pPr>
      <w:r>
        <w:t xml:space="preserve">Employing between 10 and 100 employees.</w:t>
      </w:r>
    </w:p>
    <w:p>
      <w:pPr>
        <w:numPr>
          <w:ilvl w:val="0"/>
          <w:numId w:val="1002"/>
        </w:numPr>
        <w:pStyle w:val="Compact"/>
      </w:pPr>
      <w:r>
        <w:t xml:space="preserve">Willing to commit to a six-month engagement period.</w:t>
      </w:r>
    </w:p>
    <w:p>
      <w:pPr>
        <w:numPr>
          <w:ilvl w:val="0"/>
          <w:numId w:val="1002"/>
        </w:numPr>
        <w:pStyle w:val="Compact"/>
      </w:pPr>
      <w:r>
        <w:t xml:space="preserve">Open to sharing anonymized financial and operational data.</w:t>
      </w:r>
    </w:p>
    <w:p>
      <w:pPr>
        <w:pStyle w:val="FirstParagraph"/>
      </w:pPr>
      <w:r>
        <w:t xml:space="preserve">A total of 60 SMEs will be recruited, with 30 in each group. Recruitment will be conducted through partnerships with local business associations and chambers of commerce in Qatar Doha.</w:t>
      </w:r>
    </w:p>
    <w:bookmarkEnd w:id="24"/>
    <w:bookmarkStart w:id="25" w:name="intervention"/>
    <w:p>
      <w:pPr>
        <w:pStyle w:val="Heading3"/>
      </w:pPr>
      <w:r>
        <w:t xml:space="preserve">3.3 Intervention</w:t>
      </w:r>
    </w:p>
    <w:p>
      <w:pPr>
        <w:pStyle w:val="FirstParagraph"/>
      </w:pPr>
      <w:r>
        <w:t xml:space="preserve">The intervention group will receive a standardized consulting package from certified Business Consultants experienced in the Qatar market. The package includes:</w:t>
      </w:r>
    </w:p>
    <w:p>
      <w:pPr>
        <w:numPr>
          <w:ilvl w:val="0"/>
          <w:numId w:val="1003"/>
        </w:numPr>
        <w:pStyle w:val="Compact"/>
      </w:pPr>
      <w:r>
        <w:t xml:space="preserve">Initial diagnostic assessment of business operations.</w:t>
      </w:r>
    </w:p>
    <w:p>
      <w:pPr>
        <w:numPr>
          <w:ilvl w:val="0"/>
          <w:numId w:val="1003"/>
        </w:numPr>
        <w:pStyle w:val="Compact"/>
      </w:pPr>
      <w:r>
        <w:t xml:space="preserve">Development of a tailored strategic plan.</w:t>
      </w:r>
    </w:p>
    <w:p>
      <w:pPr>
        <w:numPr>
          <w:ilvl w:val="0"/>
          <w:numId w:val="1003"/>
        </w:numPr>
        <w:pStyle w:val="Compact"/>
      </w:pPr>
      <w:r>
        <w:t xml:space="preserve">Implementation support for process improvements.</w:t>
      </w:r>
    </w:p>
    <w:p>
      <w:pPr>
        <w:numPr>
          <w:ilvl w:val="0"/>
          <w:numId w:val="1003"/>
        </w:numPr>
        <w:pStyle w:val="Compact"/>
      </w:pPr>
      <w:r>
        <w:t xml:space="preserve">Training for key staff members.</w:t>
      </w:r>
    </w:p>
    <w:p>
      <w:pPr>
        <w:numPr>
          <w:ilvl w:val="0"/>
          <w:numId w:val="1003"/>
        </w:numPr>
        <w:pStyle w:val="Compact"/>
      </w:pPr>
      <w:r>
        <w:t xml:space="preserve">Monthly review sessions to track progress.</w:t>
      </w:r>
    </w:p>
    <w:p>
      <w:pPr>
        <w:pStyle w:val="FirstParagraph"/>
      </w:pPr>
      <w:r>
        <w:t xml:space="preserve">The control group will not receive any consulting services during the experiment period but will be offered access to the consulting package after the study concludes.</w:t>
      </w:r>
    </w:p>
    <w:bookmarkEnd w:id="25"/>
    <w:bookmarkEnd w:id="26"/>
    <w:bookmarkStart w:id="29" w:name="data-collection"/>
    <w:p>
      <w:pPr>
        <w:pStyle w:val="Heading2"/>
      </w:pPr>
      <w:r>
        <w:t xml:space="preserve">4. Data Collection</w:t>
      </w:r>
    </w:p>
    <w:bookmarkStart w:id="27" w:name="quantitative-data"/>
    <w:p>
      <w:pPr>
        <w:pStyle w:val="Heading3"/>
      </w:pPr>
      <w:r>
        <w:t xml:space="preserve">4.1 Quantitative Data</w:t>
      </w:r>
    </w:p>
    <w:p>
      <w:pPr>
        <w:pStyle w:val="FirstParagraph"/>
      </w:pPr>
      <w:r>
        <w:t xml:space="preserve">Quantitative data will be collected at baseline, mid-point (three months), and end-point (six months). Key metrics include:</w:t>
      </w:r>
    </w:p>
    <w:p>
      <w:pPr>
        <w:numPr>
          <w:ilvl w:val="0"/>
          <w:numId w:val="1004"/>
        </w:numPr>
        <w:pStyle w:val="Compact"/>
      </w:pPr>
      <w:r>
        <w:t xml:space="preserve">Revenue growth rate.</w:t>
      </w:r>
    </w:p>
    <w:p>
      <w:pPr>
        <w:numPr>
          <w:ilvl w:val="0"/>
          <w:numId w:val="1004"/>
        </w:numPr>
        <w:pStyle w:val="Compact"/>
      </w:pPr>
      <w:r>
        <w:t xml:space="preserve">Profit margins.</w:t>
      </w:r>
    </w:p>
    <w:p>
      <w:pPr>
        <w:numPr>
          <w:ilvl w:val="0"/>
          <w:numId w:val="1004"/>
        </w:numPr>
        <w:pStyle w:val="Compact"/>
      </w:pPr>
      <w:r>
        <w:t xml:space="preserve">Operational efficiency indicators (e.g., cost per unit, cycle times).</w:t>
      </w:r>
    </w:p>
    <w:p>
      <w:pPr>
        <w:numPr>
          <w:ilvl w:val="0"/>
          <w:numId w:val="1004"/>
        </w:numPr>
        <w:pStyle w:val="Compact"/>
      </w:pPr>
      <w:r>
        <w:t xml:space="preserve">Customer satisfaction scores.</w:t>
      </w:r>
    </w:p>
    <w:p>
      <w:pPr>
        <w:numPr>
          <w:ilvl w:val="0"/>
          <w:numId w:val="1004"/>
        </w:numPr>
        <w:pStyle w:val="Compact"/>
      </w:pPr>
      <w:r>
        <w:t xml:space="preserve">Employee turnover rates.</w:t>
      </w:r>
    </w:p>
    <w:bookmarkEnd w:id="27"/>
    <w:bookmarkStart w:id="28" w:name="qualitative-data"/>
    <w:p>
      <w:pPr>
        <w:pStyle w:val="Heading3"/>
      </w:pPr>
      <w:r>
        <w:t xml:space="preserve">4.2 Qualitative Data</w:t>
      </w:r>
    </w:p>
    <w:p>
      <w:pPr>
        <w:pStyle w:val="FirstParagraph"/>
      </w:pPr>
      <w:r>
        <w:t xml:space="preserve">Qualitative data will be gathered through semi-structured interviews with business owners and key managers. Topics will include:</w:t>
      </w:r>
    </w:p>
    <w:p>
      <w:pPr>
        <w:numPr>
          <w:ilvl w:val="0"/>
          <w:numId w:val="1005"/>
        </w:numPr>
        <w:pStyle w:val="Compact"/>
      </w:pPr>
      <w:r>
        <w:t xml:space="preserve">Perceived value of consulting services.</w:t>
      </w:r>
    </w:p>
    <w:p>
      <w:pPr>
        <w:numPr>
          <w:ilvl w:val="0"/>
          <w:numId w:val="1005"/>
        </w:numPr>
        <w:pStyle w:val="Compact"/>
      </w:pPr>
      <w:r>
        <w:t xml:space="preserve">Challenges faced during implementation.</w:t>
      </w:r>
    </w:p>
    <w:p>
      <w:pPr>
        <w:numPr>
          <w:ilvl w:val="0"/>
          <w:numId w:val="1005"/>
        </w:numPr>
        <w:pStyle w:val="Compact"/>
      </w:pPr>
      <w:r>
        <w:t xml:space="preserve">Changes in strategic thinking and decision-making processes.</w:t>
      </w:r>
    </w:p>
    <w:p>
      <w:pPr>
        <w:numPr>
          <w:ilvl w:val="0"/>
          <w:numId w:val="1005"/>
        </w:numPr>
        <w:pStyle w:val="Compact"/>
      </w:pPr>
      <w:r>
        <w:t xml:space="preserve">Cultural and contextual factors influencing the consulting engagement.</w:t>
      </w:r>
    </w:p>
    <w:bookmarkEnd w:id="28"/>
    <w:bookmarkEnd w:id="29"/>
    <w:bookmarkStart w:id="30" w:name="ethical-considerations"/>
    <w:p>
      <w:pPr>
        <w:pStyle w:val="Heading2"/>
      </w:pPr>
      <w:r>
        <w:t xml:space="preserve">5. Ethical Considerations</w:t>
      </w:r>
    </w:p>
    <w:p>
      <w:pPr>
        <w:pStyle w:val="FirstParagraph"/>
      </w:pPr>
      <w:r>
        <w:t xml:space="preserve">This experiment will adhere to the highest ethical standards. All participants will provide informed consent before enrollment. Data will be anonymized and stored securely in compliance with Qatar’s data protection regulations. The study protocol has been reviewed and approved by an independent ethics committee.</w:t>
      </w:r>
    </w:p>
    <w:bookmarkEnd w:id="30"/>
    <w:bookmarkStart w:id="31"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ethics approval, consultant training.</w:t>
            </w:r>
          </w:p>
        </w:tc>
      </w:tr>
      <w:tr>
        <w:tc>
          <w:tcPr/>
          <w:p>
            <w:pPr>
              <w:pStyle w:val="Compact"/>
              <w:jc w:val="left"/>
            </w:pPr>
            <w:r>
              <w:t xml:space="preserve">Recruitment</w:t>
            </w:r>
          </w:p>
        </w:tc>
        <w:tc>
          <w:tcPr/>
          <w:p>
            <w:pPr>
              <w:pStyle w:val="Compact"/>
              <w:jc w:val="left"/>
            </w:pPr>
            <w:r>
              <w:t xml:space="preserve">1 month</w:t>
            </w:r>
          </w:p>
        </w:tc>
        <w:tc>
          <w:tcPr/>
          <w:p>
            <w:pPr>
              <w:pStyle w:val="Compact"/>
              <w:jc w:val="left"/>
            </w:pPr>
            <w:r>
              <w:t xml:space="preserve">Participant recruitment and randomization.</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Consulting engagement for intervention group.</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and qualitative coding.</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and dissemination of findings.</w:t>
            </w:r>
          </w:p>
        </w:tc>
      </w:tr>
    </w:tbl>
    <w:bookmarkEnd w:id="31"/>
    <w:bookmarkStart w:id="32" w:name="expected-outcomes"/>
    <w:p>
      <w:pPr>
        <w:pStyle w:val="Heading2"/>
      </w:pPr>
      <w:r>
        <w:t xml:space="preserve">7. Expected Outcomes</w:t>
      </w:r>
    </w:p>
    <w:p>
      <w:pPr>
        <w:pStyle w:val="FirstParagraph"/>
      </w:pPr>
      <w:r>
        <w:t xml:space="preserve">This experiment aims to demonstrate that structured Business Consultant interventions can significantly enhance the performance of SMEs in Qatar Doha. By providing robust evidence, the study will contribute to the broader understanding of how professional advisory services can support economic diversification and growth in Qatar. The findings will be shared with stakeholders, including government agencies, business associations, and consulting firms, to inform future policies and practices.</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impact of Business Consultant services on SMEs in Qatar Doha. By employing a rigorous research design and considering the unique context of the local market, the study will generate valuable insights that can drive positive change and support the continued development of Qatar’s dynamic business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Qatar Doha</dc:title>
  <dc:creator/>
  <dc:language>en</dc:language>
  <cp:keywords/>
  <dcterms:created xsi:type="dcterms:W3CDTF">2026-10-10T06:19:49Z</dcterms:created>
  <dcterms:modified xsi:type="dcterms:W3CDTF">2026-10-10T06:19:49Z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