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Russia</w:t>
      </w:r>
      <w:r>
        <w:t xml:space="preserve"> </w:t>
      </w:r>
      <w:r>
        <w:t xml:space="preserve">Moscow</w:t>
      </w:r>
    </w:p>
    <w:bookmarkStart w:id="31" w:name="X18ede4399ec8eb33a8150849cdc949a3f8f49a9"/>
    <w:p>
      <w:pPr>
        <w:pStyle w:val="Heading1"/>
      </w:pPr>
      <w:r>
        <w:t xml:space="preserve">Experiment Protocol: Strategic Intervention Efficacy of Business Consultants in the Moscow Metropolitan Market</w:t>
      </w:r>
    </w:p>
    <w:p>
      <w:pPr>
        <w:pStyle w:val="FirstParagraph"/>
      </w:pPr>
      <w:r>
        <w:rPr>
          <w:bCs/>
          <w:b/>
        </w:rPr>
        <w:t xml:space="preserve">Protocol ID:</w:t>
      </w:r>
      <w:r>
        <w:t xml:space="preserve"> </w:t>
      </w:r>
      <w:r>
        <w:t xml:space="preserve">EXP-MOW-BC-2024-001</w:t>
      </w:r>
      <w:r>
        <w:br/>
      </w:r>
      <w:r>
        <w:rPr>
          <w:bCs/>
          <w:b/>
        </w:rPr>
        <w:t xml:space="preserve">Date of Issue:</w:t>
      </w:r>
      <w:r>
        <w:t xml:space="preserve"> </w:t>
      </w:r>
      <w:r>
        <w:t xml:space="preserve">October 24, 2024</w:t>
      </w:r>
      <w:r>
        <w:br/>
      </w:r>
      <w:r>
        <w:rPr>
          <w:bCs/>
          <w:b/>
        </w:rPr>
        <w:t xml:space="preserve">Location of Study:</w:t>
      </w:r>
      <w:r>
        <w:t xml:space="preserve"> </w:t>
      </w:r>
      <w:r>
        <w:t xml:space="preserve">Russia, Moscow</w:t>
      </w:r>
      <w:r>
        <w:br/>
      </w:r>
      <w:r>
        <w:rPr>
          <w:bCs/>
          <w:b/>
        </w:rPr>
        <w:t xml:space="preserve">Subject:</w:t>
      </w:r>
      <w:r>
        <w:t xml:space="preserve"> </w:t>
      </w:r>
      <w:r>
        <w:t xml:space="preserve">Business Consultant Performance and Client ROI</w:t>
      </w:r>
    </w:p>
    <w:bookmarkStart w:id="20" w:name="introduction-and-rationale"/>
    <w:p>
      <w:pPr>
        <w:pStyle w:val="Heading2"/>
      </w:pPr>
      <w:r>
        <w:t xml:space="preserve">1. Introduction and Rationale</w:t>
      </w:r>
    </w:p>
    <w:p>
      <w:pPr>
        <w:pStyle w:val="FirstParagraph"/>
      </w:pPr>
      <w:r>
        <w:t xml:space="preserve">This Experiment Protocol outlines the methodology for assessing the tangible impact of external Business Consultants on small to medium-sized enterprises (SMEs) operating within the jurisdiction of Russia, specifically in the Moscow region. The Moscow business environment is characterized by high volatility, complex regulatory frameworks, and intense competition. Consequently, the role of the Business Consultant has evolved from a peripheral advisory role to a critical operational partner.</w:t>
      </w:r>
    </w:p>
    <w:p>
      <w:pPr>
        <w:pStyle w:val="BodyText"/>
      </w:pPr>
      <w:r>
        <w:t xml:space="preserve">The primary objective of this experiment is to quantify the value proposition of hiring a Business Consultant compared to internal management strategies. By isolating variables within the Moscow market, this study aims to determine whether external expertise leads to statistically significant improvements in operational efficiency, revenue growth, and regulatory compliance.</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percentage increase in net profit for Moscow-based SMEs engaging a Business Consultant over a six-month period.</w:t>
      </w:r>
    </w:p>
    <w:p>
      <w:pPr>
        <w:numPr>
          <w:ilvl w:val="0"/>
          <w:numId w:val="1001"/>
        </w:numPr>
        <w:pStyle w:val="Compact"/>
      </w:pPr>
      <w:r>
        <w:t xml:space="preserve">To evaluate the effectiveness of consultants in navigating specific Russian federal and municipal regulations.</w:t>
      </w:r>
    </w:p>
    <w:p>
      <w:pPr>
        <w:numPr>
          <w:ilvl w:val="0"/>
          <w:numId w:val="1001"/>
        </w:numPr>
        <w:pStyle w:val="Compact"/>
      </w:pPr>
      <w:r>
        <w:t xml:space="preserve">To assess the impact of consultant-led digital transformation initiatives on local workflow efficiency.</w:t>
      </w:r>
    </w:p>
    <w:p>
      <w:pPr>
        <w:numPr>
          <w:ilvl w:val="0"/>
          <w:numId w:val="1001"/>
        </w:numPr>
        <w:pStyle w:val="Compact"/>
      </w:pPr>
      <w:r>
        <w:t xml:space="preserve">To analyze client satisfaction and retention rates post-intervention.</w:t>
      </w:r>
    </w:p>
    <w:bookmarkEnd w:id="21"/>
    <w:bookmarkStart w:id="22" w:name="scope-and-study-population"/>
    <w:p>
      <w:pPr>
        <w:pStyle w:val="Heading2"/>
      </w:pPr>
      <w:r>
        <w:t xml:space="preserve">3. Scope and Study Population</w:t>
      </w:r>
    </w:p>
    <w:p>
      <w:pPr>
        <w:pStyle w:val="FirstParagraph"/>
      </w:pPr>
      <w:r>
        <w:t xml:space="preserve">The study is strictly limited to businesses registered and operating within the Moscow city limits and the immediate Moscow Oblast. The target population includes SMEs in the technology, retail, and logistics sectors, which are dominant in the Moscow economy.</w:t>
      </w:r>
    </w:p>
    <w:p>
      <w:pPr>
        <w:pStyle w:val="BodyText"/>
      </w:pPr>
      <w:r>
        <w:rPr>
          <w:bCs/>
          <w:b/>
        </w:rPr>
        <w:t xml:space="preserve">Inclusion Criteria:</w:t>
      </w:r>
    </w:p>
    <w:p>
      <w:pPr>
        <w:numPr>
          <w:ilvl w:val="0"/>
          <w:numId w:val="1002"/>
        </w:numPr>
        <w:pStyle w:val="Compact"/>
      </w:pPr>
      <w:r>
        <w:t xml:space="preserve">Companies with 20 to 200 employees.</w:t>
      </w:r>
    </w:p>
    <w:p>
      <w:pPr>
        <w:numPr>
          <w:ilvl w:val="0"/>
          <w:numId w:val="1002"/>
        </w:numPr>
        <w:pStyle w:val="Compact"/>
      </w:pPr>
      <w:r>
        <w:t xml:space="preserve">Annual revenue between 50 million and 500 million RUB.</w:t>
      </w:r>
    </w:p>
    <w:p>
      <w:pPr>
        <w:numPr>
          <w:ilvl w:val="0"/>
          <w:numId w:val="1002"/>
        </w:numPr>
        <w:pStyle w:val="Compact"/>
      </w:pPr>
      <w:r>
        <w:t xml:space="preserve">Willingness to implement recommendations provided by the assigned Business Consultant.</w:t>
      </w:r>
    </w:p>
    <w:p>
      <w:pPr>
        <w:pStyle w:val="FirstParagraph"/>
      </w:pPr>
      <w:r>
        <w:rPr>
          <w:bCs/>
          <w:b/>
        </w:rPr>
        <w:t xml:space="preserve">Exclusion Criteria:</w:t>
      </w:r>
    </w:p>
    <w:p>
      <w:pPr>
        <w:numPr>
          <w:ilvl w:val="0"/>
          <w:numId w:val="1003"/>
        </w:numPr>
        <w:pStyle w:val="Compact"/>
      </w:pPr>
      <w:r>
        <w:t xml:space="preserve">State-owned enterprises or entities with majority government ownership.</w:t>
      </w:r>
    </w:p>
    <w:p>
      <w:pPr>
        <w:numPr>
          <w:ilvl w:val="0"/>
          <w:numId w:val="1003"/>
        </w:numPr>
        <w:pStyle w:val="Compact"/>
      </w:pPr>
      <w:r>
        <w:t xml:space="preserve">Companies currently undergoing bankruptcy proceedings.</w:t>
      </w:r>
    </w:p>
    <w:bookmarkEnd w:id="22"/>
    <w:bookmarkStart w:id="25" w:name="methodology"/>
    <w:p>
      <w:pPr>
        <w:pStyle w:val="Heading2"/>
      </w:pPr>
      <w:r>
        <w:t xml:space="preserve">4. Methodology</w:t>
      </w:r>
    </w:p>
    <w:p>
      <w:pPr>
        <w:pStyle w:val="FirstParagraph"/>
      </w:pPr>
      <w:r>
        <w:t xml:space="preserve">This experiment will utilize a randomized controlled trial (RCT) design. A total of 100 eligible companies will be selected and randomly divided into two groups: the Intervention Group and the Control Group.</w:t>
      </w:r>
    </w:p>
    <w:bookmarkStart w:id="23" w:name="the-intervention-group"/>
    <w:p>
      <w:pPr>
        <w:pStyle w:val="Heading3"/>
      </w:pPr>
      <w:r>
        <w:t xml:space="preserve">4.1 The Intervention Group</w:t>
      </w:r>
    </w:p>
    <w:p>
      <w:pPr>
        <w:pStyle w:val="FirstParagraph"/>
      </w:pPr>
      <w:r>
        <w:t xml:space="preserve">Companies in this group will be paired with a certified Business Consultant. The consultant will be required to adhere to a standardized engagement framework tailored to the Moscow market. The engagement will last for six months and include:</w:t>
      </w:r>
    </w:p>
    <w:p>
      <w:pPr>
        <w:numPr>
          <w:ilvl w:val="0"/>
          <w:numId w:val="1004"/>
        </w:numPr>
        <w:pStyle w:val="Compact"/>
      </w:pPr>
      <w:r>
        <w:rPr>
          <w:bCs/>
          <w:b/>
        </w:rPr>
        <w:t xml:space="preserve">Phase 1 (Weeks 1-4):</w:t>
      </w:r>
      <w:r>
        <w:t xml:space="preserve"> </w:t>
      </w:r>
      <w:r>
        <w:t xml:space="preserve">Comprehensive audit of current operations, financial health, and legal compliance within Russian law.</w:t>
      </w:r>
    </w:p>
    <w:p>
      <w:pPr>
        <w:numPr>
          <w:ilvl w:val="0"/>
          <w:numId w:val="1004"/>
        </w:numPr>
        <w:pStyle w:val="Compact"/>
      </w:pPr>
      <w:r>
        <w:rPr>
          <w:bCs/>
          <w:b/>
        </w:rPr>
        <w:t xml:space="preserve">Phase 2 (Weeks 5-16):</w:t>
      </w:r>
      <w:r>
        <w:t xml:space="preserve"> </w:t>
      </w:r>
      <w:r>
        <w:t xml:space="preserve">Implementation of strategic changes, including supply chain optimization and marketing realignment.</w:t>
      </w:r>
    </w:p>
    <w:p>
      <w:pPr>
        <w:numPr>
          <w:ilvl w:val="0"/>
          <w:numId w:val="1004"/>
        </w:numPr>
        <w:pStyle w:val="Compact"/>
      </w:pPr>
      <w:r>
        <w:rPr>
          <w:bCs/>
          <w:b/>
        </w:rPr>
        <w:t xml:space="preserve">Phase 3 (Weeks 17-24):</w:t>
      </w:r>
      <w:r>
        <w:t xml:space="preserve"> </w:t>
      </w:r>
      <w:r>
        <w:t xml:space="preserve">Monitoring, adjustment, and final reporting.</w:t>
      </w:r>
    </w:p>
    <w:bookmarkEnd w:id="23"/>
    <w:bookmarkStart w:id="24" w:name="the-control-group"/>
    <w:p>
      <w:pPr>
        <w:pStyle w:val="Heading3"/>
      </w:pPr>
      <w:r>
        <w:t xml:space="preserve">4.2 The Control Group</w:t>
      </w:r>
    </w:p>
    <w:p>
      <w:pPr>
        <w:pStyle w:val="FirstParagraph"/>
      </w:pPr>
      <w:r>
        <w:t xml:space="preserve">Companies in this group will continue their operations using existing internal management structures without external consultancy support. They will be instructed not to hire external strategic advisors during the duration of the experiment to ensure data integrity.</w:t>
      </w:r>
    </w:p>
    <w:bookmarkEnd w:id="24"/>
    <w:bookmarkEnd w:id="25"/>
    <w:bookmarkStart w:id="26" w:name="data-collection-and-metrics"/>
    <w:p>
      <w:pPr>
        <w:pStyle w:val="Heading2"/>
      </w:pPr>
      <w:r>
        <w:t xml:space="preserve">5. Data Collection and Metrics</w:t>
      </w:r>
    </w:p>
    <w:p>
      <w:pPr>
        <w:pStyle w:val="FirstParagraph"/>
      </w:pPr>
      <w:r>
        <w:t xml:space="preserve">Data will be collected at three intervals: Baseline (T0), Mid-Point (T1), and End-Point (T2).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Financial Performance</w:t>
            </w:r>
          </w:p>
        </w:tc>
        <w:tc>
          <w:tcPr/>
          <w:p>
            <w:pPr>
              <w:pStyle w:val="Compact"/>
              <w:jc w:val="left"/>
            </w:pPr>
            <w:r>
              <w:t xml:space="preserve">Net Profit Margin</w:t>
            </w:r>
          </w:p>
        </w:tc>
        <w:tc>
          <w:tcPr/>
          <w:p>
            <w:pPr>
              <w:pStyle w:val="Compact"/>
              <w:jc w:val="left"/>
            </w:pPr>
            <w:r>
              <w:t xml:space="preserve">Audited Financial Statements</w:t>
            </w:r>
          </w:p>
        </w:tc>
      </w:tr>
      <w:tr>
        <w:tc>
          <w:tcPr/>
          <w:p>
            <w:pPr>
              <w:pStyle w:val="Compact"/>
              <w:jc w:val="left"/>
            </w:pPr>
            <w:r>
              <w:t xml:space="preserve">Operational Efficiency</w:t>
            </w:r>
          </w:p>
        </w:tc>
        <w:tc>
          <w:tcPr/>
          <w:p>
            <w:pPr>
              <w:pStyle w:val="Compact"/>
              <w:jc w:val="left"/>
            </w:pPr>
            <w:r>
              <w:t xml:space="preserve">Cost per Unit Produced/Sold</w:t>
            </w:r>
          </w:p>
        </w:tc>
        <w:tc>
          <w:tcPr/>
          <w:p>
            <w:pPr>
              <w:pStyle w:val="Compact"/>
              <w:jc w:val="left"/>
            </w:pPr>
            <w:r>
              <w:t xml:space="preserve">Internal ERP Data</w:t>
            </w:r>
          </w:p>
        </w:tc>
      </w:tr>
      <w:tr>
        <w:tc>
          <w:tcPr/>
          <w:p>
            <w:pPr>
              <w:pStyle w:val="Compact"/>
              <w:jc w:val="left"/>
            </w:pPr>
            <w:r>
              <w:t xml:space="preserve">Regulatory Compliance</w:t>
            </w:r>
          </w:p>
        </w:tc>
        <w:tc>
          <w:tcPr/>
          <w:p>
            <w:pPr>
              <w:pStyle w:val="Compact"/>
              <w:jc w:val="left"/>
            </w:pPr>
            <w:r>
              <w:t xml:space="preserve">Number of Compliance Violations</w:t>
            </w:r>
          </w:p>
        </w:tc>
        <w:tc>
          <w:tcPr/>
          <w:p>
            <w:pPr>
              <w:pStyle w:val="Compact"/>
              <w:jc w:val="left"/>
            </w:pPr>
            <w:r>
              <w:t xml:space="preserve">Legal Audit Reports</w:t>
            </w:r>
          </w:p>
        </w:tc>
      </w:tr>
      <w:tr>
        <w:tc>
          <w:tcPr/>
          <w:p>
            <w:pPr>
              <w:pStyle w:val="Compact"/>
              <w:jc w:val="left"/>
            </w:pPr>
            <w:r>
              <w:t xml:space="preserve">Market Position</w:t>
            </w:r>
          </w:p>
        </w:tc>
        <w:tc>
          <w:tcPr/>
          <w:p>
            <w:pPr>
              <w:pStyle w:val="Compact"/>
              <w:jc w:val="left"/>
            </w:pPr>
            <w:r>
              <w:t xml:space="preserve">Customer Acquisition Cost (CAC)</w:t>
            </w:r>
          </w:p>
        </w:tc>
        <w:tc>
          <w:tcPr/>
          <w:p>
            <w:pPr>
              <w:pStyle w:val="Compact"/>
              <w:jc w:val="left"/>
            </w:pPr>
            <w:r>
              <w:t xml:space="preserve">Marketing Analytics</w:t>
            </w:r>
          </w:p>
        </w:tc>
      </w:tr>
    </w:tbl>
    <w:bookmarkEnd w:id="26"/>
    <w:bookmarkStart w:id="27" w:name="X53d39ee4fcae7b306cd54c98b15b474cb83728c"/>
    <w:p>
      <w:pPr>
        <w:pStyle w:val="Heading2"/>
      </w:pPr>
      <w:r>
        <w:t xml:space="preserve">6. Ethical Considerations and Confidentiality</w:t>
      </w:r>
    </w:p>
    <w:p>
      <w:pPr>
        <w:pStyle w:val="FirstParagraph"/>
      </w:pPr>
      <w:r>
        <w:t xml:space="preserve">Given the sensitive nature of business data in Russia, strict confidentiality protocols are enforced. All data collected will be anonymized. Participation is voluntary, and companies retain the right to withdraw from the experiment at any time. The protocol adheres to the Federal Law of the Russian Federation "On Personal Data" (No. 152-FZ) regarding the protection of employee and client information.</w:t>
      </w:r>
    </w:p>
    <w:bookmarkEnd w:id="27"/>
    <w:bookmarkStart w:id="28" w:name="risk-management"/>
    <w:p>
      <w:pPr>
        <w:pStyle w:val="Heading2"/>
      </w:pPr>
      <w:r>
        <w:t xml:space="preserve">7. Risk Management</w:t>
      </w:r>
    </w:p>
    <w:p>
      <w:pPr>
        <w:pStyle w:val="FirstParagraph"/>
      </w:pPr>
      <w:r>
        <w:t xml:space="preserve">The experiment acknowledges potential risks inherent to the Moscow business climate, including macroeconomic fluctuations and regulatory changes. To mitigate these risks:</w:t>
      </w:r>
    </w:p>
    <w:p>
      <w:pPr>
        <w:numPr>
          <w:ilvl w:val="0"/>
          <w:numId w:val="1005"/>
        </w:numPr>
        <w:pStyle w:val="Compact"/>
      </w:pPr>
      <w:r>
        <w:t xml:space="preserve">Statistical analysis will control for external market variables.</w:t>
      </w:r>
    </w:p>
    <w:p>
      <w:pPr>
        <w:numPr>
          <w:ilvl w:val="0"/>
          <w:numId w:val="1005"/>
        </w:numPr>
        <w:pStyle w:val="Compact"/>
      </w:pPr>
      <w:r>
        <w:t xml:space="preserve">The Business Consultant is required to maintain a risk register for each client.</w:t>
      </w:r>
    </w:p>
    <w:p>
      <w:pPr>
        <w:numPr>
          <w:ilvl w:val="0"/>
          <w:numId w:val="1005"/>
        </w:numPr>
        <w:pStyle w:val="Compact"/>
      </w:pPr>
      <w:r>
        <w:t xml:space="preserve">Regular review boards will monitor the experiment for any adverse effects on participating companies.</w:t>
      </w:r>
    </w:p>
    <w:bookmarkEnd w:id="28"/>
    <w:bookmarkStart w:id="29" w:name="timeline"/>
    <w:p>
      <w:pPr>
        <w:pStyle w:val="Heading2"/>
      </w:pPr>
      <w:r>
        <w:t xml:space="preserve">8. Timeline</w:t>
      </w:r>
    </w:p>
    <w:p>
      <w:pPr>
        <w:pStyle w:val="FirstParagraph"/>
      </w:pPr>
      <w:r>
        <w:t xml:space="preserve">The total duration of the experiment is eight months:</w:t>
      </w:r>
    </w:p>
    <w:p>
      <w:pPr>
        <w:numPr>
          <w:ilvl w:val="0"/>
          <w:numId w:val="1006"/>
        </w:numPr>
        <w:pStyle w:val="Compact"/>
      </w:pPr>
      <w:r>
        <w:rPr>
          <w:bCs/>
          <w:b/>
        </w:rPr>
        <w:t xml:space="preserve">Month 1:</w:t>
      </w:r>
      <w:r>
        <w:t xml:space="preserve"> </w:t>
      </w:r>
      <w:r>
        <w:t xml:space="preserve">Recruitment and randomization of participants.</w:t>
      </w:r>
    </w:p>
    <w:p>
      <w:pPr>
        <w:numPr>
          <w:ilvl w:val="0"/>
          <w:numId w:val="1006"/>
        </w:numPr>
        <w:pStyle w:val="Compact"/>
      </w:pPr>
      <w:r>
        <w:rPr>
          <w:bCs/>
          <w:b/>
        </w:rPr>
        <w:t xml:space="preserve">Month 2-7:</w:t>
      </w:r>
      <w:r>
        <w:t xml:space="preserve"> </w:t>
      </w:r>
      <w:r>
        <w:t xml:space="preserve">Execution of the intervention and data collection.</w:t>
      </w:r>
    </w:p>
    <w:p>
      <w:pPr>
        <w:numPr>
          <w:ilvl w:val="0"/>
          <w:numId w:val="1006"/>
        </w:numPr>
        <w:pStyle w:val="Compact"/>
      </w:pPr>
      <w:r>
        <w:rPr>
          <w:bCs/>
          <w:b/>
        </w:rPr>
        <w:t xml:space="preserve">Month 8:</w:t>
      </w:r>
      <w:r>
        <w:t xml:space="preserve"> </w:t>
      </w:r>
      <w:r>
        <w:t xml:space="preserve">Data analysis, reporting, and dissemination of findings.</w:t>
      </w:r>
    </w:p>
    <w:bookmarkEnd w:id="29"/>
    <w:bookmarkStart w:id="30" w:name="conclusion"/>
    <w:p>
      <w:pPr>
        <w:pStyle w:val="Heading2"/>
      </w:pPr>
      <w:r>
        <w:t xml:space="preserve">9. Conclusion</w:t>
      </w:r>
    </w:p>
    <w:p>
      <w:pPr>
        <w:pStyle w:val="FirstParagraph"/>
      </w:pPr>
      <w:r>
        <w:t xml:space="preserve">This Experiment Protocol provides a rigorous framework for evaluating the efficacy of Business Consultants in the dynamic environment of Russia Moscow. By systematically comparing outcomes between assisted and non-assisted enterprises, this study will generate empirical evidence to guide future business decisions and consultancy practices in the region.</w:t>
      </w:r>
    </w:p>
    <w:p>
      <w:pPr>
        <w:pStyle w:val="BodyText"/>
      </w:pPr>
      <w:r>
        <w:t xml:space="preserve">© 2024 Strategic Research Institute. All rights reserved. This document is confidential and intended for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Russia Moscow</dc:title>
  <dc:creator/>
  <dc:language>en</dc:language>
  <cp:keywords/>
  <dcterms:created xsi:type="dcterms:W3CDTF">2026-10-10T09:18:44Z</dcterms:created>
  <dcterms:modified xsi:type="dcterms:W3CDTF">2026-10-10T09:18:44Z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