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Jeddah</w:t>
      </w:r>
    </w:p>
    <w:bookmarkStart w:id="32" w:name="X21a3fc09cf156aabefe8f99ead59c6de2a80757"/>
    <w:p>
      <w:pPr>
        <w:pStyle w:val="Heading1"/>
      </w:pPr>
      <w:r>
        <w:t xml:space="preserve">Experiment Protocol: Strategic Impact of Business Consultants on SME Growth in Jeddah</w:t>
      </w:r>
    </w:p>
    <w:p>
      <w:pPr>
        <w:pStyle w:val="FirstParagraph"/>
      </w:pPr>
      <w:r>
        <w:rPr>
          <w:bCs/>
          <w:b/>
        </w:rPr>
        <w:t xml:space="preserve">Protocol ID:</w:t>
      </w:r>
      <w:r>
        <w:t xml:space="preserve"> </w:t>
      </w:r>
      <w:r>
        <w:t xml:space="preserve">SA-JED-BC-2024-001</w:t>
      </w:r>
    </w:p>
    <w:p>
      <w:pPr>
        <w:pStyle w:val="BodyText"/>
      </w:pPr>
      <w:r>
        <w:rPr>
          <w:bCs/>
          <w:b/>
        </w:rPr>
        <w:t xml:space="preserve">Location:</w:t>
      </w:r>
      <w:r>
        <w:t xml:space="preserve"> </w:t>
      </w:r>
      <w:r>
        <w:t xml:space="preserve">Jeddah, Kingdom of Saudi Arabia</w:t>
      </w:r>
    </w:p>
    <w:p>
      <w:pPr>
        <w:pStyle w:val="BodyText"/>
      </w:pPr>
      <w:r>
        <w:rPr>
          <w:bCs/>
          <w:b/>
        </w:rPr>
        <w:t xml:space="preserve">Subject:</w:t>
      </w:r>
      <w:r>
        <w:t xml:space="preserve"> </w:t>
      </w:r>
      <w:r>
        <w:t xml:space="preserve">Business Consultant Efficacy</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Kingdom of Saudi Arabia is currently undergoing a transformative economic shift driven by Vision 2030. A central pillar of this national strategy is the diversification of the economy and the empowerment of Small and Medium Enterprises (SMEs). Jeddah, as the commercial capital of the Kingdom and a major logistics hub on the Red Sea, serves as a critical testing ground for these economic initiatives.</w:t>
      </w:r>
    </w:p>
    <w:p>
      <w:pPr>
        <w:pStyle w:val="BodyText"/>
      </w:pPr>
      <w:r>
        <w:t xml:space="preserve">Within this dynamic environment, the role of the</w:t>
      </w:r>
      <w:r>
        <w:t xml:space="preserve"> </w:t>
      </w:r>
      <w:r>
        <w:rPr>
          <w:bCs/>
          <w:b/>
        </w:rPr>
        <w:t xml:space="preserve">Business Consultant</w:t>
      </w:r>
      <w:r>
        <w:t xml:space="preserve"> </w:t>
      </w:r>
      <w:r>
        <w:t xml:space="preserve">has become increasingly prominent. However, empirical data regarding the specific efficacy of consulting interventions in the Jeddah market remains fragmented. This</w:t>
      </w:r>
      <w:r>
        <w:t xml:space="preserve"> </w:t>
      </w:r>
      <w:r>
        <w:rPr>
          <w:bCs/>
          <w:b/>
        </w:rPr>
        <w:t xml:space="preserve">Experiment Protocol</w:t>
      </w:r>
      <w:r>
        <w:t xml:space="preserve"> </w:t>
      </w:r>
      <w:r>
        <w:t xml:space="preserve">is designed to rigorously evaluate the impact of structured business consulting on operational efficiency, revenue growth, and regulatory compliance among SMEs in Jeddah.</w:t>
      </w:r>
    </w:p>
    <w:bookmarkEnd w:id="20"/>
    <w:bookmarkStart w:id="21" w:name="objectives"/>
    <w:p>
      <w:pPr>
        <w:pStyle w:val="Heading2"/>
      </w:pPr>
      <w:r>
        <w:t xml:space="preserve">2. Objectives</w:t>
      </w:r>
    </w:p>
    <w:p>
      <w:pPr>
        <w:pStyle w:val="FirstParagraph"/>
      </w:pPr>
      <w:r>
        <w:t xml:space="preserve">The primary objective of this experiment is to determine the causal relationship between professional consulting engagement and key performance indicators (KPIs) for businesses operating in Jeddah. Specifically, this protocol aims to:</w:t>
      </w:r>
    </w:p>
    <w:p>
      <w:pPr>
        <w:numPr>
          <w:ilvl w:val="0"/>
          <w:numId w:val="1001"/>
        </w:numPr>
        <w:pStyle w:val="Compact"/>
      </w:pPr>
      <w:r>
        <w:t xml:space="preserve">Quantify the impact of a</w:t>
      </w:r>
      <w:r>
        <w:t xml:space="preserve"> </w:t>
      </w:r>
      <w:r>
        <w:rPr>
          <w:bCs/>
          <w:b/>
        </w:rPr>
        <w:t xml:space="preserve">Business Consultant</w:t>
      </w:r>
      <w:r>
        <w:t xml:space="preserve"> </w:t>
      </w:r>
      <w:r>
        <w:t xml:space="preserve">on the digital transformation readiness of Jeddah-based SMEs.</w:t>
      </w:r>
    </w:p>
    <w:p>
      <w:pPr>
        <w:numPr>
          <w:ilvl w:val="0"/>
          <w:numId w:val="1001"/>
        </w:numPr>
        <w:pStyle w:val="Compact"/>
      </w:pPr>
      <w:r>
        <w:t xml:space="preserve">Assess the improvement in Saudization (Nitaqat) compliance and HR optimization following consulting interventions.</w:t>
      </w:r>
    </w:p>
    <w:p>
      <w:pPr>
        <w:numPr>
          <w:ilvl w:val="0"/>
          <w:numId w:val="1001"/>
        </w:numPr>
        <w:pStyle w:val="Compact"/>
      </w:pPr>
      <w:r>
        <w:t xml:space="preserve">Evaluate the financial return on investment (ROI) for SMEs engaging external consultants versus those relying on internal management.</w:t>
      </w:r>
    </w:p>
    <w:p>
      <w:pPr>
        <w:numPr>
          <w:ilvl w:val="0"/>
          <w:numId w:val="1001"/>
        </w:numPr>
        <w:pStyle w:val="Compact"/>
      </w:pPr>
      <w:r>
        <w:t xml:space="preserve">Identify cultural and logistical barriers specific to the Jeddah market that may hinder consulting effectiveness.</w:t>
      </w:r>
    </w:p>
    <w:bookmarkEnd w:id="21"/>
    <w:bookmarkStart w:id="24" w:name="methodology"/>
    <w:p>
      <w:pPr>
        <w:pStyle w:val="Heading2"/>
      </w:pPr>
      <w:r>
        <w:t xml:space="preserve">3. Methodology</w:t>
      </w:r>
    </w:p>
    <w:p>
      <w:pPr>
        <w:pStyle w:val="FirstParagraph"/>
      </w:pPr>
      <w:r>
        <w:t xml:space="preserve">This study will employ a randomized controlled trial (RCT) design, considered the gold standard in experimental research. The experiment will be conducted over a period of six months within the commercial districts of Jeddah, including Al-Balad, Al-Rawdah, and the Jeddah Central Business District.</w:t>
      </w:r>
    </w:p>
    <w:bookmarkStart w:id="22" w:name="participant-selection"/>
    <w:p>
      <w:pPr>
        <w:pStyle w:val="Heading3"/>
      </w:pPr>
      <w:r>
        <w:t xml:space="preserve">3.1 Participant Selection</w:t>
      </w:r>
    </w:p>
    <w:p>
      <w:pPr>
        <w:pStyle w:val="FirstParagraph"/>
      </w:pPr>
      <w:r>
        <w:t xml:space="preserve">Participants will be SMEs registered with the Ministry of Commerce in Jeddah. To ensure validity, participants must meet the following criteria:</w:t>
      </w:r>
    </w:p>
    <w:p>
      <w:pPr>
        <w:numPr>
          <w:ilvl w:val="0"/>
          <w:numId w:val="1002"/>
        </w:numPr>
        <w:pStyle w:val="Compact"/>
      </w:pPr>
      <w:r>
        <w:t xml:space="preserve">Operational for at least two years.</w:t>
      </w:r>
    </w:p>
    <w:p>
      <w:pPr>
        <w:numPr>
          <w:ilvl w:val="0"/>
          <w:numId w:val="1002"/>
        </w:numPr>
        <w:pStyle w:val="Compact"/>
      </w:pPr>
      <w:r>
        <w:t xml:space="preserve">Employ between 10 and 50 staff members.</w:t>
      </w:r>
    </w:p>
    <w:p>
      <w:pPr>
        <w:numPr>
          <w:ilvl w:val="0"/>
          <w:numId w:val="1002"/>
        </w:numPr>
        <w:pStyle w:val="Compact"/>
      </w:pPr>
      <w:r>
        <w:t xml:space="preserve">Operating in retail, logistics, or light manufacturing sectors.</w:t>
      </w:r>
    </w:p>
    <w:p>
      <w:pPr>
        <w:numPr>
          <w:ilvl w:val="0"/>
          <w:numId w:val="1002"/>
        </w:numPr>
        <w:pStyle w:val="Compact"/>
      </w:pPr>
      <w:r>
        <w:t xml:space="preserve">No prior engagement with a strategic</w:t>
      </w:r>
      <w:r>
        <w:t xml:space="preserve"> </w:t>
      </w:r>
      <w:r>
        <w:rPr>
          <w:bCs/>
          <w:b/>
        </w:rPr>
        <w:t xml:space="preserve">Business Consultant</w:t>
      </w:r>
      <w:r>
        <w:t xml:space="preserve"> </w:t>
      </w:r>
      <w:r>
        <w:t xml:space="preserve">in the last 24 months.</w:t>
      </w:r>
    </w:p>
    <w:bookmarkEnd w:id="22"/>
    <w:bookmarkStart w:id="23" w:name="group-allocation"/>
    <w:p>
      <w:pPr>
        <w:pStyle w:val="Heading3"/>
      </w:pPr>
      <w:r>
        <w:t xml:space="preserve">3.2 Group Allocation</w:t>
      </w:r>
    </w:p>
    <w:p>
      <w:pPr>
        <w:pStyle w:val="FirstParagraph"/>
      </w:pPr>
      <w:r>
        <w:t xml:space="preserve">Selected participants will be randomly assigned to one of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Intervention</w:t>
            </w:r>
          </w:p>
        </w:tc>
      </w:tr>
      <w:tr>
        <w:tc>
          <w:tcPr/>
          <w:p>
            <w:pPr>
              <w:pStyle w:val="Compact"/>
              <w:jc w:val="left"/>
            </w:pPr>
            <w:r>
              <w:rPr>
                <w:bCs/>
                <w:b/>
              </w:rPr>
              <w:t xml:space="preserve">Treatment Group</w:t>
            </w:r>
          </w:p>
        </w:tc>
        <w:tc>
          <w:tcPr/>
          <w:p>
            <w:pPr>
              <w:pStyle w:val="Compact"/>
              <w:jc w:val="left"/>
            </w:pPr>
            <w:r>
              <w:t xml:space="preserve">50 SMEs</w:t>
            </w:r>
          </w:p>
        </w:tc>
        <w:tc>
          <w:tcPr/>
          <w:p>
            <w:pPr>
              <w:pStyle w:val="Compact"/>
              <w:jc w:val="left"/>
            </w:pPr>
            <w:r>
              <w:t xml:space="preserve">Engage a certified</w:t>
            </w:r>
            <w:r>
              <w:t xml:space="preserve"> </w:t>
            </w:r>
            <w:r>
              <w:rPr>
                <w:bCs/>
                <w:b/>
              </w:rPr>
              <w:t xml:space="preserve">Business Consultant</w:t>
            </w:r>
            <w:r>
              <w:t xml:space="preserve"> </w:t>
            </w:r>
            <w:r>
              <w:t xml:space="preserve">for a 6-month strategic overhaul.</w:t>
            </w:r>
          </w:p>
        </w:tc>
      </w:tr>
      <w:tr>
        <w:tc>
          <w:tcPr/>
          <w:p>
            <w:pPr>
              <w:pStyle w:val="Compact"/>
              <w:jc w:val="left"/>
            </w:pPr>
            <w:r>
              <w:rPr>
                <w:bCs/>
                <w:b/>
              </w:rPr>
              <w:t xml:space="preserve">Control Group</w:t>
            </w:r>
          </w:p>
        </w:tc>
        <w:tc>
          <w:tcPr/>
          <w:p>
            <w:pPr>
              <w:pStyle w:val="Compact"/>
              <w:jc w:val="left"/>
            </w:pPr>
            <w:r>
              <w:t xml:space="preserve">50 SMEs</w:t>
            </w:r>
          </w:p>
        </w:tc>
        <w:tc>
          <w:tcPr/>
          <w:p>
            <w:pPr>
              <w:pStyle w:val="Compact"/>
              <w:jc w:val="left"/>
            </w:pPr>
            <w:r>
              <w:t xml:space="preserve">Continue operations with existing management structures; no external consulting.</w:t>
            </w:r>
          </w:p>
        </w:tc>
      </w:tr>
    </w:tbl>
    <w:bookmarkEnd w:id="23"/>
    <w:bookmarkEnd w:id="24"/>
    <w:bookmarkStart w:id="28" w:name="experimental-procedure"/>
    <w:p>
      <w:pPr>
        <w:pStyle w:val="Heading2"/>
      </w:pPr>
      <w:r>
        <w:t xml:space="preserve">4. Experimental Procedure</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data integrity and alignment with local business cycles in Saudi Arabia.</w:t>
      </w:r>
    </w:p>
    <w:bookmarkStart w:id="25" w:name="phase-1-baseline-assessment-weeks-1-4"/>
    <w:p>
      <w:pPr>
        <w:pStyle w:val="Heading3"/>
      </w:pPr>
      <w:r>
        <w:t xml:space="preserve">Phase 1: Baseline Assessment (Weeks 1-4)</w:t>
      </w:r>
    </w:p>
    <w:p>
      <w:pPr>
        <w:pStyle w:val="FirstParagraph"/>
      </w:pPr>
      <w:r>
        <w:t xml:space="preserve">Researchers will conduct comprehensive audits of all participating firms. Metrics will include current revenue streams, operational costs, employee satisfaction scores, and compliance status with Saudi regulatory frameworks. This baseline is crucial for measuring the delta caused by the</w:t>
      </w:r>
      <w:r>
        <w:t xml:space="preserve"> </w:t>
      </w:r>
      <w:r>
        <w:rPr>
          <w:bCs/>
          <w:b/>
        </w:rPr>
        <w:t xml:space="preserve">Business Consultant</w:t>
      </w:r>
      <w:r>
        <w:t xml:space="preserve">.</w:t>
      </w:r>
    </w:p>
    <w:bookmarkEnd w:id="25"/>
    <w:bookmarkStart w:id="26" w:name="phase-2-intervention-weeks-5-24"/>
    <w:p>
      <w:pPr>
        <w:pStyle w:val="Heading3"/>
      </w:pPr>
      <w:r>
        <w:t xml:space="preserve">Phase 2: Intervention (Weeks 5-24)</w:t>
      </w:r>
    </w:p>
    <w:p>
      <w:pPr>
        <w:pStyle w:val="FirstParagraph"/>
      </w:pPr>
      <w:r>
        <w:t xml:space="preserve">The Treatment Group will engage with consultants specializing in the Saudi market. The consulting mandate will focus on three core areas relevant to Jeddah:</w:t>
      </w:r>
    </w:p>
    <w:p>
      <w:pPr>
        <w:numPr>
          <w:ilvl w:val="0"/>
          <w:numId w:val="1003"/>
        </w:numPr>
        <w:pStyle w:val="Compact"/>
      </w:pPr>
      <w:r>
        <w:rPr>
          <w:bCs/>
          <w:b/>
        </w:rPr>
        <w:t xml:space="preserve">Market Positioning:</w:t>
      </w:r>
      <w:r>
        <w:t xml:space="preserve"> </w:t>
      </w:r>
      <w:r>
        <w:t xml:space="preserve">Leveraging Jeddah’s status as a trade gateway to optimize supply chains.</w:t>
      </w:r>
    </w:p>
    <w:p>
      <w:pPr>
        <w:numPr>
          <w:ilvl w:val="0"/>
          <w:numId w:val="1003"/>
        </w:numPr>
        <w:pStyle w:val="Compact"/>
      </w:pPr>
      <w:r>
        <w:rPr>
          <w:bCs/>
          <w:b/>
        </w:rPr>
        <w:t xml:space="preserve">Digital Integration:</w:t>
      </w:r>
      <w:r>
        <w:t xml:space="preserve"> </w:t>
      </w:r>
      <w:r>
        <w:t xml:space="preserve">Implementing ERP systems compatible with ZATCA (Zakat, Tax and Customs Authority) requirements.</w:t>
      </w:r>
    </w:p>
    <w:p>
      <w:pPr>
        <w:numPr>
          <w:ilvl w:val="0"/>
          <w:numId w:val="1003"/>
        </w:numPr>
        <w:pStyle w:val="Compact"/>
      </w:pPr>
      <w:r>
        <w:rPr>
          <w:bCs/>
          <w:b/>
        </w:rPr>
        <w:t xml:space="preserve">Human Capital:</w:t>
      </w:r>
      <w:r>
        <w:t xml:space="preserve"> </w:t>
      </w:r>
      <w:r>
        <w:t xml:space="preserve">Strategies to improve retention and align with Vision 2030 workforce goals.</w:t>
      </w:r>
    </w:p>
    <w:p>
      <w:pPr>
        <w:pStyle w:val="FirstParagraph"/>
      </w:pPr>
      <w:r>
        <w:t xml:space="preserve">The Control Group will receive no intervention but will be monitored to account for external market fluctuations in Jeddah.</w:t>
      </w:r>
    </w:p>
    <w:bookmarkEnd w:id="26"/>
    <w:bookmarkStart w:id="27" w:name="X6ad4bb06d0e04fdbc28323000fb51b3728d9ebb"/>
    <w:p>
      <w:pPr>
        <w:pStyle w:val="Heading3"/>
      </w:pPr>
      <w:r>
        <w:t xml:space="preserve">Phase 3: Post-Intervention Analysis (Weeks 25-28)</w:t>
      </w:r>
    </w:p>
    <w:p>
      <w:pPr>
        <w:pStyle w:val="FirstParagraph"/>
      </w:pPr>
      <w:r>
        <w:t xml:space="preserve">A second round of audits will be conducted. Data will be compared against the baseline to isolate the impact of the consulting intervention.</w:t>
      </w:r>
    </w:p>
    <w:bookmarkEnd w:id="27"/>
    <w:bookmarkEnd w:id="28"/>
    <w:bookmarkStart w:id="29" w:name="data-collection-and-metrics"/>
    <w:p>
      <w:pPr>
        <w:pStyle w:val="Heading2"/>
      </w:pPr>
      <w:r>
        <w:t xml:space="preserve">5. Data Collection and Metrics</w:t>
      </w:r>
    </w:p>
    <w:p>
      <w:pPr>
        <w:pStyle w:val="FirstParagraph"/>
      </w:pPr>
      <w:r>
        <w:t xml:space="preserve">Data will be collected through financial statements, employee surveys, and direct observation. The primary metrics for success include:</w:t>
      </w:r>
    </w:p>
    <w:p>
      <w:pPr>
        <w:numPr>
          <w:ilvl w:val="0"/>
          <w:numId w:val="1004"/>
        </w:numPr>
        <w:pStyle w:val="Compact"/>
      </w:pPr>
      <w:r>
        <w:rPr>
          <w:bCs/>
          <w:b/>
        </w:rPr>
        <w:t xml:space="preserve">Revenue Growth Rate:</w:t>
      </w:r>
      <w:r>
        <w:t xml:space="preserve"> </w:t>
      </w:r>
      <w:r>
        <w:t xml:space="preserve">Percentage increase in net revenue.</w:t>
      </w:r>
    </w:p>
    <w:p>
      <w:pPr>
        <w:numPr>
          <w:ilvl w:val="0"/>
          <w:numId w:val="1004"/>
        </w:numPr>
        <w:pStyle w:val="Compact"/>
      </w:pPr>
      <w:r>
        <w:rPr>
          <w:bCs/>
          <w:b/>
        </w:rPr>
        <w:t xml:space="preserve">Operational Efficiency:</w:t>
      </w:r>
      <w:r>
        <w:t xml:space="preserve"> </w:t>
      </w:r>
      <w:r>
        <w:t xml:space="preserve">Reduction in waste and process time.</w:t>
      </w:r>
    </w:p>
    <w:p>
      <w:pPr>
        <w:numPr>
          <w:ilvl w:val="0"/>
          <w:numId w:val="1004"/>
        </w:numPr>
        <w:pStyle w:val="Compact"/>
      </w:pPr>
      <w:r>
        <w:rPr>
          <w:bCs/>
          <w:b/>
        </w:rPr>
        <w:t xml:space="preserve">Compliance Score:</w:t>
      </w:r>
      <w:r>
        <w:t xml:space="preserve"> </w:t>
      </w:r>
      <w:r>
        <w:t xml:space="preserve">Adherence to local labor and tax laws.</w:t>
      </w:r>
    </w:p>
    <w:p>
      <w:pPr>
        <w:numPr>
          <w:ilvl w:val="0"/>
          <w:numId w:val="1004"/>
        </w:numPr>
        <w:pStyle w:val="Compact"/>
      </w:pPr>
      <w:r>
        <w:rPr>
          <w:bCs/>
          <w:b/>
        </w:rPr>
        <w:t xml:space="preserve">Consultant Satisfaction Index:</w:t>
      </w:r>
      <w:r>
        <w:t xml:space="preserve"> </w:t>
      </w:r>
      <w:r>
        <w:t xml:space="preserve">Qualitative feedback from business owners regarding the value provided by the</w:t>
      </w:r>
      <w:r>
        <w:t xml:space="preserve"> </w:t>
      </w:r>
      <w:r>
        <w:rPr>
          <w:bCs/>
          <w:b/>
        </w:rPr>
        <w:t xml:space="preserve">Business Consultant</w:t>
      </w:r>
      <w:r>
        <w:t xml:space="preserve">.</w:t>
      </w:r>
    </w:p>
    <w:bookmarkEnd w:id="29"/>
    <w:bookmarkStart w:id="30" w:name="ethical-considerations-and-compliance"/>
    <w:p>
      <w:pPr>
        <w:pStyle w:val="Heading2"/>
      </w:pPr>
      <w:r>
        <w:t xml:space="preserve">6. Ethical Considerations and Compliance</w:t>
      </w:r>
    </w:p>
    <w:p>
      <w:pPr>
        <w:pStyle w:val="FirstParagraph"/>
      </w:pPr>
      <w:r>
        <w:t xml:space="preserve">This experiment adheres to the ethical guidelines set forth by the Saudi Commission for Health Specialties and local business regulations. Informed consent will be obtained from all business owners. Data privacy will be maintained in accordance with the Personal Data Protection Law (PDPL) of Saudi Arabia. All data will be anonymized to protect the competitive interests of the participating SMEs in Jeddah.</w:t>
      </w:r>
    </w:p>
    <w:bookmarkEnd w:id="30"/>
    <w:bookmarkStart w:id="31" w:name="expected-outcomes-and-significance"/>
    <w:p>
      <w:pPr>
        <w:pStyle w:val="Heading2"/>
      </w:pPr>
      <w:r>
        <w:t xml:space="preserve">7. Expected Outcomes and Significance</w:t>
      </w:r>
    </w:p>
    <w:p>
      <w:pPr>
        <w:pStyle w:val="FirstParagraph"/>
      </w:pPr>
      <w:r>
        <w:t xml:space="preserve">It is hypothesized that the Treatment Group will demonstrate statistically significant improvements in operational efficiency and regulatory compliance compared to the Control Group. The findings of this</w:t>
      </w:r>
      <w:r>
        <w:t xml:space="preserve"> </w:t>
      </w:r>
      <w:r>
        <w:rPr>
          <w:bCs/>
          <w:b/>
        </w:rPr>
        <w:t xml:space="preserve">Experiment Protocol</w:t>
      </w:r>
      <w:r>
        <w:t xml:space="preserve"> </w:t>
      </w:r>
      <w:r>
        <w:t xml:space="preserve">will provide actionable insights for policymakers in Saudi Arabia regarding the support mechanisms needed for the consulting industry. Furthermore, it will offer SMEs in Jeddah evidence-based guidance on the strategic value of hiring a</w:t>
      </w:r>
      <w:r>
        <w:t xml:space="preserve"> </w:t>
      </w:r>
      <w:r>
        <w:rPr>
          <w:bCs/>
          <w:b/>
        </w:rPr>
        <w:t xml:space="preserve">Business Consultant</w:t>
      </w:r>
      <w:r>
        <w:t xml:space="preserve"> </w:t>
      </w:r>
      <w:r>
        <w:t xml:space="preserve">to navigate the complexities of the modern Saudi economy.</w:t>
      </w:r>
    </w:p>
    <w:p>
      <w:pPr>
        <w:pStyle w:val="BodyText"/>
      </w:pPr>
      <w:r>
        <w:t xml:space="preserve">© 2023 Jeddah Economic Research Initiative. All rights reserved.</w:t>
      </w:r>
    </w:p>
    <w:p>
      <w:pPr>
        <w:pStyle w:val="BodyText"/>
      </w:pPr>
      <w:r>
        <w:t xml:space="preserve">This document is for academic and professional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Jeddah</dc:title>
  <dc:creator/>
  <dc:language>en</dc:language>
  <cp:keywords/>
  <dcterms:created xsi:type="dcterms:W3CDTF">2026-10-10T09:17:49Z</dcterms:created>
  <dcterms:modified xsi:type="dcterms:W3CDTF">2026-10-10T09:17:49Z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