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Riyadh</w:t>
      </w:r>
    </w:p>
    <w:bookmarkStart w:id="20" w:name="X25d424b1929aa80704855ed40e8188b0e009984"/>
    <w:p>
      <w:pPr>
        <w:pStyle w:val="Heading1"/>
      </w:pPr>
      <w:r>
        <w:t xml:space="preserve">Experiment Protocol: Business Consultant Efficacy in Riyadh</w:t>
      </w:r>
    </w:p>
    <w:p>
      <w:pPr>
        <w:pStyle w:val="FirstParagraph"/>
      </w:pPr>
      <w:r>
        <w:rPr>
          <w:bCs/>
          <w:b/>
        </w:rPr>
        <w:t xml:space="preserve">Document ID:</w:t>
      </w:r>
      <w:r>
        <w:t xml:space="preserve"> </w:t>
      </w:r>
      <w:r>
        <w:t xml:space="preserve">EXP-RC-2024-001</w:t>
      </w:r>
    </w:p>
    <w:p>
      <w:pPr>
        <w:pStyle w:val="BodyText"/>
      </w:pPr>
      <w:r>
        <w:rPr>
          <w:bCs/>
          <w:b/>
        </w:rPr>
        <w:t xml:space="preserve">Location:</w:t>
      </w:r>
      <w:r>
        <w:t xml:space="preserve"> </w:t>
      </w:r>
      <w:r>
        <w:t xml:space="preserve">Riyadh, Saudi Arabia</w:t>
      </w:r>
    </w:p>
    <w:p>
      <w:pPr>
        <w:pStyle w:val="BodyText"/>
      </w:pPr>
      <w:r>
        <w:rPr>
          <w:bCs/>
          <w:b/>
        </w:rPr>
        <w:t xml:space="preserve">Subject:</w:t>
      </w:r>
      <w:r>
        <w:t xml:space="preserve"> </w:t>
      </w:r>
      <w:r>
        <w:t xml:space="preserve">Business Consultant</w:t>
      </w:r>
    </w:p>
    <w:p>
      <w:pPr>
        <w:pStyle w:val="BodyText"/>
      </w:pPr>
      <w:r>
        <w:rPr>
          <w:bCs/>
          <w:b/>
        </w:rPr>
        <w:t xml:space="preserve">Date:</w:t>
      </w:r>
      <w:r>
        <w:t xml:space="preserve"> </w:t>
      </w:r>
      <w:r>
        <w:t xml:space="preserve">October 26,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external Business Consultant interventions on mid-sized enterprises operating within Riyadh, Saudi Arabia. As the Kingdom advances its Vision 2030 initiatives, the demand for specialized strategic guidance has surged. This experiment aims to quantify the value proposition of hiring a Business Consultant compared to internal management strategies in the specific economic and cultural context of Riyadh.</w:t>
      </w:r>
    </w:p>
    <w:p>
      <w:pPr>
        <w:pStyle w:val="BodyText"/>
      </w:pPr>
      <w:r>
        <w:t xml:space="preserve">The study focuses on sectors heavily influenced by recent regulatory changes and digital transformation mandates, including retail, logistics, and technology services. The primary objective is to determine whether the engagement of a Business Consultant leads to statistically significant improvements in operational efficiency, revenue growth, and regulatory compliance within a six-month period.</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direct correlation between Business Consultant recommendations and Key Performance Indicator (KPI) improvements in Riyadh-based firms.</w:t>
      </w:r>
    </w:p>
    <w:p>
      <w:pPr>
        <w:numPr>
          <w:ilvl w:val="0"/>
          <w:numId w:val="1001"/>
        </w:numPr>
        <w:pStyle w:val="Compact"/>
      </w:pPr>
      <w:r>
        <w:t xml:space="preserve">To evaluate the adaptability of international consulting frameworks to the local Saudi business culture and regulatory environment.</w:t>
      </w:r>
    </w:p>
    <w:p>
      <w:pPr>
        <w:numPr>
          <w:ilvl w:val="0"/>
          <w:numId w:val="1001"/>
        </w:numPr>
        <w:pStyle w:val="Compact"/>
      </w:pPr>
      <w:r>
        <w:t xml:space="preserve">To assess the cost-benefit ratio of consultant engagement versus internal resource allocation.</w:t>
      </w:r>
    </w:p>
    <w:p>
      <w:pPr>
        <w:numPr>
          <w:ilvl w:val="0"/>
          <w:numId w:val="1001"/>
        </w:numPr>
        <w:pStyle w:val="Compact"/>
      </w:pPr>
      <w:r>
        <w:t xml:space="preserve">To identify specific areas where a Business Consultant adds the most value, such as Saudization (Nitaqat) compliance, digital adoption, or market expansion.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companies will be randomly assigned to one of two groups: the Intervention Group (engaging a Business Consultant) or the Control Group (maintaining standard internal operations).</w:t>
      </w:r>
    </w:p>
    <w:bookmarkEnd w:id="23"/>
    <w:bookmarkStart w:id="24" w:name="participants"/>
    <w:p>
      <w:pPr>
        <w:pStyle w:val="Heading3"/>
      </w:pPr>
      <w:r>
        <w:t xml:space="preserve">3.2 Participants</w:t>
      </w:r>
    </w:p>
    <w:p>
      <w:pPr>
        <w:pStyle w:val="FirstParagraph"/>
      </w:pPr>
      <w:r>
        <w:t xml:space="preserve">The sample size will consist of 40 mid-sized companies headquartered in Riyadh. Inclusion criteria include:</w:t>
      </w:r>
    </w:p>
    <w:p>
      <w:pPr>
        <w:numPr>
          <w:ilvl w:val="0"/>
          <w:numId w:val="1002"/>
        </w:numPr>
        <w:pStyle w:val="Compact"/>
      </w:pPr>
      <w:r>
        <w:t xml:space="preserve">Established operations in Riyadh for at least three years.</w:t>
      </w:r>
    </w:p>
    <w:p>
      <w:pPr>
        <w:numPr>
          <w:ilvl w:val="0"/>
          <w:numId w:val="1002"/>
        </w:numPr>
        <w:pStyle w:val="Compact"/>
      </w:pPr>
      <w:r>
        <w:t xml:space="preserve">Annual revenue between SAR 10 million and SAR 50 million.</w:t>
      </w:r>
    </w:p>
    <w:p>
      <w:pPr>
        <w:numPr>
          <w:ilvl w:val="0"/>
          <w:numId w:val="1002"/>
        </w:numPr>
        <w:pStyle w:val="Compact"/>
      </w:pPr>
      <w:r>
        <w:t xml:space="preserve">Willingness to implement recommended changes.</w:t>
      </w:r>
    </w:p>
    <w:p>
      <w:pPr>
        <w:numPr>
          <w:ilvl w:val="0"/>
          <w:numId w:val="1002"/>
        </w:numPr>
        <w:pStyle w:val="Compact"/>
      </w:pPr>
      <w:r>
        <w:t xml:space="preserve">Current Nitaqat status of Green or Platinum.</w:t>
      </w:r>
    </w:p>
    <w:bookmarkEnd w:id="24"/>
    <w:bookmarkStart w:id="25" w:name="the-intervention"/>
    <w:p>
      <w:pPr>
        <w:pStyle w:val="Heading3"/>
      </w:pPr>
      <w:r>
        <w:t xml:space="preserve">3.3 The Intervention</w:t>
      </w:r>
    </w:p>
    <w:p>
      <w:pPr>
        <w:pStyle w:val="FirstParagraph"/>
      </w:pPr>
      <w:r>
        <w:t xml:space="preserve">Companies in the Intervention Group will engage a certified Business Consultant for a duration of six months. The consultant's scope will include:</w:t>
      </w:r>
    </w:p>
    <w:p>
      <w:pPr>
        <w:numPr>
          <w:ilvl w:val="0"/>
          <w:numId w:val="1003"/>
        </w:numPr>
        <w:pStyle w:val="Compact"/>
      </w:pPr>
      <w:r>
        <w:t xml:space="preserve">Strategic planning aligned with Vision 2030 goals.</w:t>
      </w:r>
    </w:p>
    <w:p>
      <w:pPr>
        <w:numPr>
          <w:ilvl w:val="0"/>
          <w:numId w:val="1003"/>
        </w:numPr>
        <w:pStyle w:val="Compact"/>
      </w:pPr>
      <w:r>
        <w:t xml:space="preserve">Process optimization and lean management implementation.</w:t>
      </w:r>
    </w:p>
    <w:p>
      <w:pPr>
        <w:numPr>
          <w:ilvl w:val="0"/>
          <w:numId w:val="1003"/>
        </w:numPr>
        <w:pStyle w:val="Compact"/>
      </w:pPr>
      <w:r>
        <w:t xml:space="preserve">Regulatory compliance auditing (ZATCA, HRSD).</w:t>
      </w:r>
    </w:p>
    <w:p>
      <w:pPr>
        <w:numPr>
          <w:ilvl w:val="0"/>
          <w:numId w:val="1003"/>
        </w:numPr>
        <w:pStyle w:val="Compact"/>
      </w:pPr>
      <w:r>
        <w:t xml:space="preserve">Digital transformation roadmap development.</w:t>
      </w:r>
    </w:p>
    <w:p>
      <w:pPr>
        <w:pStyle w:val="FirstParagraph"/>
      </w:pPr>
      <w:r>
        <w:t xml:space="preserve">The Control Group will receive no external consulting support but will be monitored for any internal strategic shifts.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(Month 0), Mid-point (Month 3), and Conclusion (Month 6).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Revenue growth, Cost reduction, Profit margin</w:t>
            </w:r>
          </w:p>
        </w:tc>
        <w:tc>
          <w:tcPr/>
          <w:p>
            <w:pPr>
              <w:pStyle w:val="Compact"/>
              <w:jc w:val="left"/>
            </w:pPr>
            <w:r>
              <w:t xml:space="preserve">Financial Statements</w:t>
            </w:r>
          </w:p>
        </w:tc>
      </w:tr>
      <w:tr>
        <w:tc>
          <w:tcPr/>
          <w:p>
            <w:pPr>
              <w:pStyle w:val="Compact"/>
              <w:jc w:val="left"/>
            </w:pPr>
            <w:r>
              <w:t xml:space="preserve">Operational Efficiency</w:t>
            </w:r>
          </w:p>
        </w:tc>
        <w:tc>
          <w:tcPr/>
          <w:p>
            <w:pPr>
              <w:pStyle w:val="Compact"/>
              <w:jc w:val="left"/>
            </w:pPr>
            <w:r>
              <w:t xml:space="preserve">Process cycle time, Error rates, Resource utilization</w:t>
            </w:r>
          </w:p>
        </w:tc>
        <w:tc>
          <w:tcPr/>
          <w:p>
            <w:pPr>
              <w:pStyle w:val="Compact"/>
              <w:jc w:val="left"/>
            </w:pPr>
            <w:r>
              <w:t xml:space="preserve">Operational Audits</w:t>
            </w:r>
          </w:p>
        </w:tc>
      </w:tr>
      <w:tr>
        <w:tc>
          <w:tcPr/>
          <w:p>
            <w:pPr>
              <w:pStyle w:val="Compact"/>
              <w:jc w:val="left"/>
            </w:pPr>
            <w:r>
              <w:t xml:space="preserve">Regulatory Compliance</w:t>
            </w:r>
          </w:p>
        </w:tc>
        <w:tc>
          <w:tcPr/>
          <w:p>
            <w:pPr>
              <w:pStyle w:val="Compact"/>
              <w:jc w:val="left"/>
            </w:pPr>
            <w:r>
              <w:t xml:space="preserve">Nitaqat score, VAT compliance, Labor law adherence</w:t>
            </w:r>
          </w:p>
        </w:tc>
        <w:tc>
          <w:tcPr/>
          <w:p>
            <w:pPr>
              <w:pStyle w:val="Compact"/>
              <w:jc w:val="left"/>
            </w:pPr>
            <w:r>
              <w:t xml:space="preserve">Government Portal Data</w:t>
            </w:r>
          </w:p>
        </w:tc>
      </w:tr>
      <w:tr>
        <w:tc>
          <w:tcPr/>
          <w:p>
            <w:pPr>
              <w:pStyle w:val="Compact"/>
              <w:jc w:val="left"/>
            </w:pPr>
            <w:r>
              <w:t xml:space="preserve">Employee Satisfaction</w:t>
            </w:r>
          </w:p>
        </w:tc>
        <w:tc>
          <w:tcPr/>
          <w:p>
            <w:pPr>
              <w:pStyle w:val="Compact"/>
              <w:jc w:val="left"/>
            </w:pPr>
            <w:r>
              <w:t xml:space="preserve">Staff retention, Engagement scores</w:t>
            </w:r>
          </w:p>
        </w:tc>
        <w:tc>
          <w:tcPr/>
          <w:p>
            <w:pPr>
              <w:pStyle w:val="Compact"/>
              <w:jc w:val="left"/>
            </w:pPr>
            <w:r>
              <w:t xml:space="preserve">Anonymous Surveys</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adheres to the ethical standards set by the Saudi Data and AI Authority (SDAIA) regarding data privacy. All company data will be anonymized and encrypted. Participation is voluntary, and companies retain the right to withdraw at any time. The Business Consultant must operate within the legal framework of the Ministry of Commerce in Saudi Arabia.</w:t>
      </w:r>
    </w:p>
    <w:bookmarkEnd w:id="28"/>
    <w:bookmarkStart w:id="29" w:name="risk-management"/>
    <w:p>
      <w:pPr>
        <w:pStyle w:val="Heading2"/>
      </w:pPr>
      <w:r>
        <w:t xml:space="preserve">6. Risk Management</w:t>
      </w:r>
    </w:p>
    <w:p>
      <w:pPr>
        <w:pStyle w:val="FirstParagraph"/>
      </w:pPr>
      <w:r>
        <w:t xml:space="preserve">Potential risks include resistance to change from internal staff, economic fluctuations in Riyadh affecting all participants equally, and consultant bias. Mitigation strategies include:</w:t>
      </w:r>
    </w:p>
    <w:p>
      <w:pPr>
        <w:numPr>
          <w:ilvl w:val="0"/>
          <w:numId w:val="1004"/>
        </w:numPr>
        <w:pStyle w:val="Compact"/>
      </w:pPr>
      <w:r>
        <w:t xml:space="preserve">Conducting change management workshops for the Intervention Group.</w:t>
      </w:r>
    </w:p>
    <w:p>
      <w:pPr>
        <w:numPr>
          <w:ilvl w:val="0"/>
          <w:numId w:val="1004"/>
        </w:numPr>
        <w:pStyle w:val="Compact"/>
      </w:pPr>
      <w:r>
        <w:t xml:space="preserve">Using statistical controls to account for macroeconomic factors.</w:t>
      </w:r>
    </w:p>
    <w:p>
      <w:pPr>
        <w:numPr>
          <w:ilvl w:val="0"/>
          <w:numId w:val="1004"/>
        </w:numPr>
        <w:pStyle w:val="Compact"/>
      </w:pPr>
      <w:r>
        <w:t xml:space="preserve">Blinding the data analysts to the group assignments during analysis.</w:t>
      </w:r>
    </w:p>
    <w:bookmarkEnd w:id="29"/>
    <w:bookmarkStart w:id="30" w:name="timeline"/>
    <w:p>
      <w:pPr>
        <w:pStyle w:val="Heading2"/>
      </w:pPr>
      <w:r>
        <w:t xml:space="preserve">7. Timeline</w:t>
      </w:r>
    </w:p>
    <w:p>
      <w:pPr>
        <w:numPr>
          <w:ilvl w:val="0"/>
          <w:numId w:val="1005"/>
        </w:numPr>
        <w:pStyle w:val="Compact"/>
      </w:pPr>
      <w:r>
        <w:rPr>
          <w:bCs/>
          <w:b/>
        </w:rPr>
        <w:t xml:space="preserve">Month 1:</w:t>
      </w:r>
      <w:r>
        <w:t xml:space="preserve"> </w:t>
      </w:r>
      <w:r>
        <w:t xml:space="preserve">Recruitment of participants and baseline data collection.</w:t>
      </w:r>
    </w:p>
    <w:p>
      <w:pPr>
        <w:numPr>
          <w:ilvl w:val="0"/>
          <w:numId w:val="1005"/>
        </w:numPr>
        <w:pStyle w:val="Compact"/>
      </w:pPr>
      <w:r>
        <w:rPr>
          <w:bCs/>
          <w:b/>
        </w:rPr>
        <w:t xml:space="preserve">Months 2-7:</w:t>
      </w:r>
      <w:r>
        <w:t xml:space="preserve"> </w:t>
      </w:r>
      <w:r>
        <w:t xml:space="preserve">Implementation phase (Intervention Group engages Business Consultant).</w:t>
      </w:r>
    </w:p>
    <w:p>
      <w:pPr>
        <w:numPr>
          <w:ilvl w:val="0"/>
          <w:numId w:val="1005"/>
        </w:numPr>
        <w:pStyle w:val="Compact"/>
      </w:pPr>
      <w:r>
        <w:rPr>
          <w:bCs/>
          <w:b/>
        </w:rPr>
        <w:t xml:space="preserve">Month 4:</w:t>
      </w:r>
      <w:r>
        <w:t xml:space="preserve"> </w:t>
      </w:r>
      <w:r>
        <w:t xml:space="preserve">Mid-point data collection and preliminary review.</w:t>
      </w:r>
    </w:p>
    <w:p>
      <w:pPr>
        <w:numPr>
          <w:ilvl w:val="0"/>
          <w:numId w:val="1005"/>
        </w:numPr>
        <w:pStyle w:val="Compact"/>
      </w:pPr>
      <w:r>
        <w:rPr>
          <w:bCs/>
          <w:b/>
        </w:rPr>
        <w:t xml:space="preserve">Month 7:</w:t>
      </w:r>
      <w:r>
        <w:t xml:space="preserve"> </w:t>
      </w:r>
      <w:r>
        <w:t xml:space="preserve">Final data collection.</w:t>
      </w:r>
    </w:p>
    <w:p>
      <w:pPr>
        <w:numPr>
          <w:ilvl w:val="0"/>
          <w:numId w:val="1005"/>
        </w:numPr>
        <w:pStyle w:val="Compact"/>
      </w:pPr>
      <w:r>
        <w:rPr>
          <w:bCs/>
          <w:b/>
        </w:rPr>
        <w:t xml:space="preserve">Month 8:</w:t>
      </w:r>
      <w:r>
        <w:t xml:space="preserve"> </w:t>
      </w:r>
      <w:r>
        <w:t xml:space="preserve">Data analysis and report generation.</w:t>
      </w:r>
    </w:p>
    <w:bookmarkEnd w:id="30"/>
    <w:bookmarkStart w:id="31" w:name="conclusion"/>
    <w:p>
      <w:pPr>
        <w:pStyle w:val="Heading2"/>
      </w:pPr>
      <w:r>
        <w:t xml:space="preserve">8. Conclusion</w:t>
      </w:r>
    </w:p>
    <w:p>
      <w:pPr>
        <w:pStyle w:val="FirstParagraph"/>
      </w:pPr>
      <w:r>
        <w:t xml:space="preserve">This Experiment Protocol provides a rigorous framework for evaluating the role of a Business Consultant in the dynamic market of Riyadh, Saudi Arabia. By systematically comparing outcomes between assisted and non-assisted firms, this study will offer valuable insights for stakeholders, policymakers, and business leaders navigating the Kingdom's evolving economic landscape. The findings will contribute to a better understanding of how external expertise can accelerate organizational success in alignment with national development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Riyadh</dc:title>
  <dc:creator/>
  <dc:language>en</dc:language>
  <cp:keywords/>
  <dcterms:created xsi:type="dcterms:W3CDTF">2026-10-10T09:11:52Z</dcterms:created>
  <dcterms:modified xsi:type="dcterms:W3CDTF">2026-10-10T09:11:52Z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